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中国人民银行令〔</w:t>
      </w:r>
      <w:r>
        <w:rPr>
          <w:rStyle w:val="bjh-p"/>
          <w:rFonts w:ascii="Arial" w:hAnsi="Arial" w:cs="Arial"/>
          <w:color w:val="333333"/>
        </w:rPr>
        <w:t>2020</w:t>
      </w:r>
      <w:r>
        <w:rPr>
          <w:rStyle w:val="bjh-p"/>
          <w:rFonts w:ascii="Arial" w:hAnsi="Arial" w:cs="Arial"/>
          <w:color w:val="333333"/>
        </w:rPr>
        <w:t>〕第</w:t>
      </w:r>
      <w:r>
        <w:rPr>
          <w:rStyle w:val="bjh-p"/>
          <w:rFonts w:ascii="Arial" w:hAnsi="Arial" w:cs="Arial"/>
          <w:color w:val="333333"/>
        </w:rPr>
        <w:t>4</w:t>
      </w:r>
      <w:r>
        <w:rPr>
          <w:rStyle w:val="bjh-p"/>
          <w:rFonts w:ascii="Arial" w:hAnsi="Arial" w:cs="Arial"/>
          <w:color w:val="333333"/>
        </w:rPr>
        <w:t>号</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《金融控股公司监督管理试行办法》已经</w:t>
      </w:r>
      <w:r>
        <w:rPr>
          <w:rStyle w:val="bjh-p"/>
          <w:rFonts w:ascii="Arial" w:hAnsi="Arial" w:cs="Arial"/>
          <w:color w:val="333333"/>
        </w:rPr>
        <w:t>2020</w:t>
      </w:r>
      <w:r>
        <w:rPr>
          <w:rStyle w:val="bjh-p"/>
          <w:rFonts w:ascii="Arial" w:hAnsi="Arial" w:cs="Arial"/>
          <w:color w:val="333333"/>
        </w:rPr>
        <w:t>年</w:t>
      </w:r>
      <w:r>
        <w:rPr>
          <w:rStyle w:val="bjh-p"/>
          <w:rFonts w:ascii="Arial" w:hAnsi="Arial" w:cs="Arial"/>
          <w:color w:val="333333"/>
        </w:rPr>
        <w:t>7</w:t>
      </w:r>
      <w:r>
        <w:rPr>
          <w:rStyle w:val="bjh-p"/>
          <w:rFonts w:ascii="Arial" w:hAnsi="Arial" w:cs="Arial"/>
          <w:color w:val="333333"/>
        </w:rPr>
        <w:t>月</w:t>
      </w:r>
      <w:r>
        <w:rPr>
          <w:rStyle w:val="bjh-p"/>
          <w:rFonts w:ascii="Arial" w:hAnsi="Arial" w:cs="Arial"/>
          <w:color w:val="333333"/>
        </w:rPr>
        <w:t>23</w:t>
      </w:r>
      <w:r>
        <w:rPr>
          <w:rStyle w:val="bjh-p"/>
          <w:rFonts w:ascii="Arial" w:hAnsi="Arial" w:cs="Arial"/>
          <w:color w:val="333333"/>
        </w:rPr>
        <w:t>日中国人民银行</w:t>
      </w:r>
      <w:r>
        <w:rPr>
          <w:rStyle w:val="bjh-p"/>
          <w:rFonts w:ascii="Arial" w:hAnsi="Arial" w:cs="Arial"/>
          <w:color w:val="333333"/>
        </w:rPr>
        <w:t>2020</w:t>
      </w:r>
      <w:r>
        <w:rPr>
          <w:rStyle w:val="bjh-p"/>
          <w:rFonts w:ascii="Arial" w:hAnsi="Arial" w:cs="Arial"/>
          <w:color w:val="333333"/>
        </w:rPr>
        <w:t>年第</w:t>
      </w:r>
      <w:r>
        <w:rPr>
          <w:rStyle w:val="bjh-p"/>
          <w:rFonts w:ascii="Arial" w:hAnsi="Arial" w:cs="Arial"/>
          <w:color w:val="333333"/>
        </w:rPr>
        <w:t>5</w:t>
      </w:r>
      <w:r>
        <w:rPr>
          <w:rStyle w:val="bjh-p"/>
          <w:rFonts w:ascii="Arial" w:hAnsi="Arial" w:cs="Arial"/>
          <w:color w:val="333333"/>
        </w:rPr>
        <w:t>次行务会议审议通过，并报经党中央、国务院同意，现予发布，自</w:t>
      </w:r>
      <w:r>
        <w:rPr>
          <w:rStyle w:val="bjh-p"/>
          <w:rFonts w:ascii="Arial" w:hAnsi="Arial" w:cs="Arial"/>
          <w:color w:val="333333"/>
        </w:rPr>
        <w:t>2020</w:t>
      </w:r>
      <w:r>
        <w:rPr>
          <w:rStyle w:val="bjh-p"/>
          <w:rFonts w:ascii="Arial" w:hAnsi="Arial" w:cs="Arial"/>
          <w:color w:val="333333"/>
        </w:rPr>
        <w:t>年</w:t>
      </w:r>
      <w:r>
        <w:rPr>
          <w:rStyle w:val="bjh-p"/>
          <w:rFonts w:ascii="Arial" w:hAnsi="Arial" w:cs="Arial"/>
          <w:color w:val="333333"/>
        </w:rPr>
        <w:t>11</w:t>
      </w:r>
      <w:r>
        <w:rPr>
          <w:rStyle w:val="bjh-p"/>
          <w:rFonts w:ascii="Arial" w:hAnsi="Arial" w:cs="Arial"/>
          <w:color w:val="333333"/>
        </w:rPr>
        <w:t>月</w:t>
      </w:r>
      <w:r>
        <w:rPr>
          <w:rStyle w:val="bjh-p"/>
          <w:rFonts w:ascii="Arial" w:hAnsi="Arial" w:cs="Arial"/>
          <w:color w:val="333333"/>
        </w:rPr>
        <w:t>1</w:t>
      </w:r>
      <w:r>
        <w:rPr>
          <w:rStyle w:val="bjh-p"/>
          <w:rFonts w:ascii="Arial" w:hAnsi="Arial" w:cs="Arial"/>
          <w:color w:val="333333"/>
        </w:rPr>
        <w:t>日起施行。</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中国人民银行</w:t>
      </w:r>
      <w:r>
        <w:rPr>
          <w:rStyle w:val="bjh-p"/>
          <w:rFonts w:ascii="Arial" w:hAnsi="Arial" w:cs="Arial"/>
          <w:color w:val="333333"/>
        </w:rPr>
        <w:t xml:space="preserve"> </w:t>
      </w:r>
      <w:r>
        <w:rPr>
          <w:rStyle w:val="bjh-p"/>
          <w:rFonts w:ascii="Arial" w:hAnsi="Arial" w:cs="Arial"/>
          <w:color w:val="333333"/>
        </w:rPr>
        <w:t>行</w:t>
      </w:r>
      <w:r>
        <w:rPr>
          <w:rStyle w:val="bjh-p"/>
          <w:rFonts w:ascii="Arial" w:hAnsi="Arial" w:cs="Arial"/>
          <w:color w:val="333333"/>
        </w:rPr>
        <w:t xml:space="preserve"> </w:t>
      </w:r>
      <w:r>
        <w:rPr>
          <w:rStyle w:val="bjh-p"/>
          <w:rFonts w:ascii="Arial" w:hAnsi="Arial" w:cs="Arial"/>
          <w:color w:val="333333"/>
        </w:rPr>
        <w:t>长</w:t>
      </w:r>
      <w:r>
        <w:rPr>
          <w:rStyle w:val="bjh-p"/>
          <w:rFonts w:ascii="Arial" w:hAnsi="Arial" w:cs="Arial"/>
          <w:color w:val="333333"/>
        </w:rPr>
        <w:t xml:space="preserve"> </w:t>
      </w:r>
      <w:r>
        <w:rPr>
          <w:rStyle w:val="bjh-p"/>
          <w:rFonts w:ascii="Arial" w:hAnsi="Arial" w:cs="Arial"/>
          <w:color w:val="333333"/>
        </w:rPr>
        <w:t>易纲</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2020</w:t>
      </w:r>
      <w:r>
        <w:rPr>
          <w:rStyle w:val="bjh-p"/>
          <w:rFonts w:ascii="Arial" w:hAnsi="Arial" w:cs="Arial"/>
          <w:color w:val="333333"/>
        </w:rPr>
        <w:t>年</w:t>
      </w:r>
      <w:r>
        <w:rPr>
          <w:rStyle w:val="bjh-p"/>
          <w:rFonts w:ascii="Arial" w:hAnsi="Arial" w:cs="Arial"/>
          <w:color w:val="333333"/>
        </w:rPr>
        <w:t>9</w:t>
      </w:r>
      <w:r>
        <w:rPr>
          <w:rStyle w:val="bjh-p"/>
          <w:rFonts w:ascii="Arial" w:hAnsi="Arial" w:cs="Arial"/>
          <w:color w:val="333333"/>
        </w:rPr>
        <w:t>月</w:t>
      </w:r>
      <w:r>
        <w:rPr>
          <w:rStyle w:val="bjh-p"/>
          <w:rFonts w:ascii="Arial" w:hAnsi="Arial" w:cs="Arial"/>
          <w:color w:val="333333"/>
        </w:rPr>
        <w:t>11</w:t>
      </w:r>
      <w:r>
        <w:rPr>
          <w:rStyle w:val="bjh-p"/>
          <w:rFonts w:ascii="Arial" w:hAnsi="Arial" w:cs="Arial"/>
          <w:color w:val="333333"/>
        </w:rPr>
        <w:t>日</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金融控股公司监督管理试行办法</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第一章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总则</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第一条</w:t>
      </w:r>
      <w:r>
        <w:rPr>
          <w:rStyle w:val="bjh-p"/>
          <w:rFonts w:ascii="Arial" w:hAnsi="Arial" w:cs="Arial"/>
          <w:color w:val="333333"/>
        </w:rPr>
        <w:t>为规范金融控股公司行为，加强对非金融企业等设立金融控股公司的监督管理，防范系统性金融风险，根据《中华人民共和国中国人民银行法》、《中华人民共和国公司法》、《中华人民共和国商业银行法》、《中华人民共和国证券法》、《中华人民共和国证券投资基金法》、《中华人民共和国保险法》、《中华人民共和国银行业监督管理法》、《中华人民共和国信托法》等法律、行政法规以及《国务院关于实施金融控股公司准入管理的决定》（国发〔</w:t>
      </w:r>
      <w:r>
        <w:rPr>
          <w:rStyle w:val="bjh-p"/>
          <w:rFonts w:ascii="Arial" w:hAnsi="Arial" w:cs="Arial"/>
          <w:color w:val="333333"/>
        </w:rPr>
        <w:t>2020</w:t>
      </w:r>
      <w:r>
        <w:rPr>
          <w:rStyle w:val="bjh-p"/>
          <w:rFonts w:ascii="Arial" w:hAnsi="Arial" w:cs="Arial"/>
          <w:color w:val="333333"/>
        </w:rPr>
        <w:t>〕</w:t>
      </w:r>
      <w:r>
        <w:rPr>
          <w:rStyle w:val="bjh-p"/>
          <w:rFonts w:ascii="Arial" w:hAnsi="Arial" w:cs="Arial"/>
          <w:color w:val="333333"/>
        </w:rPr>
        <w:t>12</w:t>
      </w:r>
      <w:r>
        <w:rPr>
          <w:rStyle w:val="bjh-p"/>
          <w:rFonts w:ascii="Arial" w:hAnsi="Arial" w:cs="Arial"/>
          <w:color w:val="333333"/>
        </w:rPr>
        <w:t>号），制定本办法。</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第二条</w:t>
      </w:r>
      <w:r>
        <w:rPr>
          <w:rStyle w:val="bjh-p"/>
          <w:rFonts w:ascii="Arial" w:hAnsi="Arial" w:cs="Arial"/>
          <w:color w:val="333333"/>
        </w:rPr>
        <w:t>本办法所称金融控股公司是指依法设立，控股或实际控制两个或两个以上不同类型金融机构，自身仅开展股权投资管理、不直接从事商业性经营活动的有限责任公司或股份有限公司。</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本办法适用于控股股东或实际控制人为境内非金融企业、自然人以及经认可的法人的金融控股公司。金融机构跨业投资控股形成的金融集团参照本办法确定监管政策标准，具体规则另行制定。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本办法所称金融机构包括以下类型：</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（一）商业银行（不含村镇银行）、金融租赁公司。</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（二）信托公司。</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（三）金融资产管理公司。</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（四）证券公司、公募基金管理公司、期货公司。</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（五）人身保险公司、财产保险公司、再保险公司、保险资产管理公司。</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（六）国务院金融管理部门认定的其他机构。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本办法所称金融控股公司所控股金融机构是指金融控股公司控股或实际控制的境内外金融机构。本办法将控股或实际控制统称为实质控制。金融控股集团是指金融控股公司及其所控股机构共同构成的企业法人联合体。</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第三条</w:t>
      </w:r>
      <w:r>
        <w:rPr>
          <w:rStyle w:val="bjh-p"/>
          <w:rFonts w:ascii="Arial" w:hAnsi="Arial" w:cs="Arial"/>
          <w:color w:val="333333"/>
        </w:rPr>
        <w:t>投资方直接或间接取得被投资方过半数有表决权股份的，即对被投资方形成实质控制。计算表决权时应当综合考虑投资方直接或间接持有的可转换工具、可执行认股权证、可执行期权等潜在表决权。</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投资方未直接或间接取得被投资方过半数有表决权的股份，有以下情形之一的，视同投资方对被投资方形成实质控制：</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（一）投资方通过与其他投资方签订协议或其他安排，实质拥有被投资方过半数表决权。</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（二）按照法律规定或协议约定，投资方具有实际支配被投资方公司行为的权力。</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（三）投资方有权任免被投资方董事会或其他类似权力机构的过半数成员。</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（四）投资方在被投资方董事会或其他类似权力机构具有过半数表决权。</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（五）其他属于实质控制的情形，包括按照《企业会计准则第</w:t>
      </w:r>
      <w:r>
        <w:rPr>
          <w:rStyle w:val="bjh-p"/>
          <w:rFonts w:ascii="Arial" w:hAnsi="Arial" w:cs="Arial"/>
          <w:color w:val="333333"/>
        </w:rPr>
        <w:t>33</w:t>
      </w:r>
      <w:r>
        <w:rPr>
          <w:rStyle w:val="bjh-p"/>
          <w:rFonts w:ascii="Arial" w:hAnsi="Arial" w:cs="Arial"/>
          <w:color w:val="333333"/>
        </w:rPr>
        <w:t>号</w:t>
      </w:r>
      <w:r>
        <w:rPr>
          <w:rStyle w:val="bjh-p"/>
          <w:rFonts w:ascii="Arial" w:hAnsi="Arial" w:cs="Arial"/>
          <w:color w:val="333333"/>
        </w:rPr>
        <w:t>——</w:t>
      </w:r>
      <w:r>
        <w:rPr>
          <w:rStyle w:val="bjh-p"/>
          <w:rFonts w:ascii="Arial" w:hAnsi="Arial" w:cs="Arial"/>
          <w:color w:val="333333"/>
        </w:rPr>
        <w:t>合并财务报表》构成控制的情形。</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两个或两个以上投资方均有资格单独主导被投资方不同方面的决策、经营和管理等活动时，能够主导对被投资方回报产生最重大影响的活动的一方，视为对被投资方形成实质控制。</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投资方在申请设立金融控股公司时，应当书面逐层说明其股权结构，直至最终的实际控制人、受益所有人，以及与其他股东的关联关系或一致行动人关系。</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第四条</w:t>
      </w:r>
      <w:r>
        <w:rPr>
          <w:rStyle w:val="bjh-p"/>
          <w:rFonts w:ascii="Arial" w:hAnsi="Arial" w:cs="Arial"/>
          <w:color w:val="333333"/>
        </w:rPr>
        <w:t>中国人民银行依法对金融控股公司实施监管，审查批准金融控股公司的设立、变更、终止以及业务范围。</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国务院金融管理部门依法按照金融监管职责分工对金融控股公司所控股金融机构实施监管。</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财政部负责制定金融控股公司财务制度并组织实施。</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建立金融控股公司监管跨部门联合机制。中国人民银行与国务院银行保险监督管理机构、国务院证券监督管理机构、国家外汇管理部门</w:t>
      </w:r>
      <w:r w:rsidRPr="00000BC7">
        <w:rPr>
          <w:rStyle w:val="bjh-p"/>
          <w:rFonts w:ascii="Arial" w:hAnsi="Arial" w:cs="Arial"/>
          <w:b/>
          <w:color w:val="333333"/>
        </w:rPr>
        <w:t>加强对金融控股公司及其所控股金融机构的监管合作和信息共享</w:t>
      </w:r>
      <w:r>
        <w:rPr>
          <w:rStyle w:val="bjh-p"/>
          <w:rFonts w:ascii="Arial" w:hAnsi="Arial" w:cs="Arial"/>
          <w:color w:val="333333"/>
        </w:rPr>
        <w:t>。中国人民银行、国务院银行保险监督管理机构、国务院证券监督管理机构、国家外汇管理部门与发展改革部门、财政部门、国有资产管理部门等</w:t>
      </w:r>
      <w:r w:rsidRPr="00BA45AC">
        <w:rPr>
          <w:rStyle w:val="bjh-p"/>
          <w:rFonts w:ascii="Arial" w:hAnsi="Arial" w:cs="Arial"/>
          <w:b/>
          <w:color w:val="333333"/>
        </w:rPr>
        <w:t>加强金融控股公司的信息数据共享</w:t>
      </w:r>
      <w:r>
        <w:rPr>
          <w:rStyle w:val="bjh-p"/>
          <w:rFonts w:ascii="Arial" w:hAnsi="Arial" w:cs="Arial"/>
          <w:color w:val="333333"/>
        </w:rPr>
        <w:t>。</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第五条</w:t>
      </w:r>
      <w:r>
        <w:rPr>
          <w:rStyle w:val="bjh-p"/>
          <w:rFonts w:ascii="Arial" w:hAnsi="Arial" w:cs="Arial"/>
          <w:color w:val="333333"/>
        </w:rPr>
        <w:t>中国人民银行会同相关部门按照实质重于形式原则，对金融控股集团的资本、行为及风险进行全面、持续、穿透监管，防范金融风险跨行业、跨市场传递。</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第二章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设立和许可</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第六条</w:t>
      </w:r>
      <w:r>
        <w:rPr>
          <w:rStyle w:val="bjh-p"/>
          <w:rFonts w:ascii="Arial" w:hAnsi="Arial" w:cs="Arial"/>
          <w:color w:val="333333"/>
        </w:rPr>
        <w:t> </w:t>
      </w:r>
      <w:r>
        <w:rPr>
          <w:rStyle w:val="bjh-p"/>
          <w:rFonts w:ascii="Arial" w:hAnsi="Arial" w:cs="Arial"/>
          <w:color w:val="333333"/>
        </w:rPr>
        <w:t>非金融企业、自然人及经认可的法人实质控制两个或两个以上不同类型金融机构，并具有以下情形之一的，应当设立金融控股公司：</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（一）实质控制的金融机构中含商业银行，金融机构的总资产规模不少于</w:t>
      </w:r>
      <w:r>
        <w:rPr>
          <w:rStyle w:val="bjh-p"/>
          <w:rFonts w:ascii="Arial" w:hAnsi="Arial" w:cs="Arial"/>
          <w:color w:val="333333"/>
        </w:rPr>
        <w:t>5000</w:t>
      </w:r>
      <w:r>
        <w:rPr>
          <w:rStyle w:val="bjh-p"/>
          <w:rFonts w:ascii="Arial" w:hAnsi="Arial" w:cs="Arial"/>
          <w:color w:val="333333"/>
        </w:rPr>
        <w:t>亿元的，或金融机构总资产规模少于</w:t>
      </w:r>
      <w:r>
        <w:rPr>
          <w:rStyle w:val="bjh-p"/>
          <w:rFonts w:ascii="Arial" w:hAnsi="Arial" w:cs="Arial"/>
          <w:color w:val="333333"/>
        </w:rPr>
        <w:t>5000</w:t>
      </w:r>
      <w:r>
        <w:rPr>
          <w:rStyle w:val="bjh-p"/>
          <w:rFonts w:ascii="Arial" w:hAnsi="Arial" w:cs="Arial"/>
          <w:color w:val="333333"/>
        </w:rPr>
        <w:t>亿元，但商业银行以外其他类型的金融机构总资产规模不少于</w:t>
      </w:r>
      <w:r>
        <w:rPr>
          <w:rStyle w:val="bjh-p"/>
          <w:rFonts w:ascii="Arial" w:hAnsi="Arial" w:cs="Arial"/>
          <w:color w:val="333333"/>
        </w:rPr>
        <w:t>1000</w:t>
      </w:r>
      <w:r>
        <w:rPr>
          <w:rStyle w:val="bjh-p"/>
          <w:rFonts w:ascii="Arial" w:hAnsi="Arial" w:cs="Arial"/>
          <w:color w:val="333333"/>
        </w:rPr>
        <w:t>亿元或受托管理资产的总规模不少于</w:t>
      </w:r>
      <w:r>
        <w:rPr>
          <w:rStyle w:val="bjh-p"/>
          <w:rFonts w:ascii="Arial" w:hAnsi="Arial" w:cs="Arial"/>
          <w:color w:val="333333"/>
        </w:rPr>
        <w:t>5000</w:t>
      </w:r>
      <w:r>
        <w:rPr>
          <w:rStyle w:val="bjh-p"/>
          <w:rFonts w:ascii="Arial" w:hAnsi="Arial" w:cs="Arial"/>
          <w:color w:val="333333"/>
        </w:rPr>
        <w:t>亿元。</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（二）实质控制的金融机构不含商业银行，金融机构的总资产规模不少于</w:t>
      </w:r>
      <w:r>
        <w:rPr>
          <w:rStyle w:val="bjh-p"/>
          <w:rFonts w:ascii="Arial" w:hAnsi="Arial" w:cs="Arial"/>
          <w:color w:val="333333"/>
        </w:rPr>
        <w:t>1000</w:t>
      </w:r>
      <w:r>
        <w:rPr>
          <w:rStyle w:val="bjh-p"/>
          <w:rFonts w:ascii="Arial" w:hAnsi="Arial" w:cs="Arial"/>
          <w:color w:val="333333"/>
        </w:rPr>
        <w:t>亿元或受托管理资产的总规模不少于</w:t>
      </w:r>
      <w:r>
        <w:rPr>
          <w:rStyle w:val="bjh-p"/>
          <w:rFonts w:ascii="Arial" w:hAnsi="Arial" w:cs="Arial"/>
          <w:color w:val="333333"/>
        </w:rPr>
        <w:t>5000</w:t>
      </w:r>
      <w:r>
        <w:rPr>
          <w:rStyle w:val="bjh-p"/>
          <w:rFonts w:ascii="Arial" w:hAnsi="Arial" w:cs="Arial"/>
          <w:color w:val="333333"/>
        </w:rPr>
        <w:t>亿元。</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（三）实质控制的金融机构总资产规模或受托管理资产的总规模未达到第一项、第二项规定的标准，但中国人民银行按照宏观审慎监管要求，认为需要设立金融控股公司的。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符合前款规定条件的企业集团，如果企业集团内的金融资产占集团并表总资产的比重达到或超过</w:t>
      </w:r>
      <w:r>
        <w:rPr>
          <w:rStyle w:val="bjh-p"/>
          <w:rFonts w:ascii="Arial" w:hAnsi="Arial" w:cs="Arial"/>
          <w:color w:val="333333"/>
        </w:rPr>
        <w:t>85</w:t>
      </w:r>
      <w:r>
        <w:rPr>
          <w:rStyle w:val="bjh-p"/>
          <w:rFonts w:ascii="Arial" w:hAnsi="Arial" w:cs="Arial"/>
          <w:color w:val="333333"/>
        </w:rPr>
        <w:t>％的，可申请专门设立金融控股公司，由金融控股公司及其所控股机构共同构成金融控股集团；也可按照本办法规定的设立金融控股公司的同等条件，由企业集团母公司直接申请成为金融控股公司，企业集团整体被认定为金融控股集团，金融资产占集团并表总资产的比重应当持续达到或超过</w:t>
      </w:r>
      <w:r>
        <w:rPr>
          <w:rStyle w:val="bjh-p"/>
          <w:rFonts w:ascii="Arial" w:hAnsi="Arial" w:cs="Arial"/>
          <w:color w:val="333333"/>
        </w:rPr>
        <w:t>85</w:t>
      </w:r>
      <w:r>
        <w:rPr>
          <w:rStyle w:val="bjh-p"/>
          <w:rFonts w:ascii="Arial" w:hAnsi="Arial" w:cs="Arial"/>
          <w:color w:val="333333"/>
        </w:rPr>
        <w:t>％。</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第七条</w:t>
      </w:r>
      <w:r>
        <w:rPr>
          <w:rStyle w:val="bjh-p"/>
          <w:rFonts w:ascii="Arial" w:hAnsi="Arial" w:cs="Arial"/>
          <w:color w:val="333333"/>
        </w:rPr>
        <w:t> </w:t>
      </w:r>
      <w:r>
        <w:rPr>
          <w:rStyle w:val="bjh-p"/>
          <w:rFonts w:ascii="Arial" w:hAnsi="Arial" w:cs="Arial"/>
          <w:color w:val="333333"/>
        </w:rPr>
        <w:t>申请设立金融控股公司的，除应当具备《中华人民共和国公司法》规定的条件外，还应当具备以下条件：</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（一）实缴注册资本额不低于</w:t>
      </w:r>
      <w:r>
        <w:rPr>
          <w:rStyle w:val="bjh-p"/>
          <w:rFonts w:ascii="Arial" w:hAnsi="Arial" w:cs="Arial"/>
          <w:color w:val="333333"/>
        </w:rPr>
        <w:t>50</w:t>
      </w:r>
      <w:r>
        <w:rPr>
          <w:rStyle w:val="bjh-p"/>
          <w:rFonts w:ascii="Arial" w:hAnsi="Arial" w:cs="Arial"/>
          <w:color w:val="333333"/>
        </w:rPr>
        <w:t>亿元人民币，且不低于直接所控股金融机构注册资本总和的</w:t>
      </w:r>
      <w:r>
        <w:rPr>
          <w:rStyle w:val="bjh-p"/>
          <w:rFonts w:ascii="Arial" w:hAnsi="Arial" w:cs="Arial"/>
          <w:color w:val="333333"/>
        </w:rPr>
        <w:t>50</w:t>
      </w:r>
      <w:r>
        <w:rPr>
          <w:rStyle w:val="bjh-p"/>
          <w:rFonts w:ascii="Arial" w:hAnsi="Arial" w:cs="Arial"/>
          <w:color w:val="333333"/>
        </w:rPr>
        <w:t>％。</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（二）拟设金融控股公司的股东、实际控制人符合相关法律、行政法规、国务院决定和本办法规定。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（三）有符合任职条件的董事、监事和高级管理人员。</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（四）有健全的组织机构和有效的风险管理、内部控制制度。</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（五）有能力为所控股金融机构持续补充资本。</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设立金融控股公司，还应当符合其他审慎性条件。</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第八条</w:t>
      </w:r>
      <w:r>
        <w:rPr>
          <w:rStyle w:val="bjh-p"/>
          <w:rFonts w:ascii="Arial" w:hAnsi="Arial" w:cs="Arial"/>
          <w:color w:val="333333"/>
        </w:rPr>
        <w:t>非金融企业、自然人持有金融控股公司股权不足</w:t>
      </w:r>
      <w:r>
        <w:rPr>
          <w:rStyle w:val="bjh-p"/>
          <w:rFonts w:ascii="Arial" w:hAnsi="Arial" w:cs="Arial"/>
          <w:color w:val="333333"/>
        </w:rPr>
        <w:t>5</w:t>
      </w:r>
      <w:r>
        <w:rPr>
          <w:rStyle w:val="bjh-p"/>
          <w:rFonts w:ascii="Arial" w:hAnsi="Arial" w:cs="Arial"/>
          <w:color w:val="333333"/>
        </w:rPr>
        <w:t>％且对金融控股公司经营管理无重大影响的，应当符合以下条件：</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（一）非金融企业应当依法设立，股权结构清晰，公司治理完善。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非金融企业和自然人最近三年无重大违法违规记录或重大不良信用记录；没有因涉嫌重大违法违规正在被调查或处于整改期间；不存在对所投资企业经营失败负有重大责任未逾三年的情形；不存在因故意犯罪被判处刑罚、刑罚执行完毕未逾五年的情形。</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（三）非金融企业不存在长期未实际开展业务、停业、破产清算、治理结构缺失、内部控制失效等影响履行股东权利和义务的情形；不存在可能严重影响持续经营的担保、诉讼、仲裁或其他重大事项。</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通过证券交易所、全国中小企业股份转让系统交易取得金融控股公司</w:t>
      </w:r>
      <w:r>
        <w:rPr>
          <w:rStyle w:val="bjh-p"/>
          <w:rFonts w:ascii="Arial" w:hAnsi="Arial" w:cs="Arial"/>
          <w:color w:val="333333"/>
        </w:rPr>
        <w:t>5</w:t>
      </w:r>
      <w:r>
        <w:rPr>
          <w:rStyle w:val="bjh-p"/>
          <w:rFonts w:ascii="Arial" w:hAnsi="Arial" w:cs="Arial"/>
          <w:color w:val="333333"/>
        </w:rPr>
        <w:t>％以下股份的股东，不适用本条前述规定。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金融产品可以持有上市金融控股公司股份，但单一投资人、发行人或管理人及其实际控制人、关联方、一致行动人控制的金融产品持有同一金融控股公司股份合计不得超过该金融控股公司股份总额的</w:t>
      </w:r>
      <w:r>
        <w:rPr>
          <w:rStyle w:val="bjh-p"/>
          <w:rFonts w:ascii="Arial" w:hAnsi="Arial" w:cs="Arial"/>
          <w:color w:val="333333"/>
        </w:rPr>
        <w:t>5</w:t>
      </w:r>
      <w:r>
        <w:rPr>
          <w:rStyle w:val="bjh-p"/>
          <w:rFonts w:ascii="Arial" w:hAnsi="Arial" w:cs="Arial"/>
          <w:color w:val="333333"/>
        </w:rPr>
        <w:t>％。</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第九条</w:t>
      </w:r>
      <w:r>
        <w:rPr>
          <w:rStyle w:val="bjh-p"/>
          <w:rFonts w:ascii="Arial" w:hAnsi="Arial" w:cs="Arial"/>
          <w:color w:val="333333"/>
        </w:rPr>
        <w:t>非金融企业、自然人申请设立或投资入股成为金融控股公司主要股东、控股股东或实际控制人的，应当在符合本办法第八条规定的同时，还符合以下条件：</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（一）非金融企业和自然人应当具有良好的信用记录和社会声誉。</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（二）非金融企业应当核心主业突出，资本实力雄厚，投资金融机构动机纯正，已制定合理的投资金融业的商业计划，不盲目向金融业扩张，不影响主营业务发展。</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（三）非金融企业应当公司治理规范，股权结构和组织架构清晰，股东、受益所有人结构透明，管理能力达标，具有有效的风险管理和内部控制机制。</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（四）非金融企业应当财务状况良好。成为主要股东的，应当最近两个会计年度连续盈利。成为控股股东或实际控制人的，应当最近三个会计年度连续盈利，年终分配后净资产达到总资产的</w:t>
      </w:r>
      <w:r>
        <w:rPr>
          <w:rStyle w:val="bjh-p"/>
          <w:rFonts w:ascii="Arial" w:hAnsi="Arial" w:cs="Arial"/>
          <w:color w:val="333333"/>
        </w:rPr>
        <w:t>40</w:t>
      </w:r>
      <w:r>
        <w:rPr>
          <w:rStyle w:val="bjh-p"/>
          <w:rFonts w:ascii="Arial" w:hAnsi="Arial" w:cs="Arial"/>
          <w:color w:val="333333"/>
        </w:rPr>
        <w:t>％（母公司财务报表口径），权益性投资余额不超过净资产的</w:t>
      </w:r>
      <w:r>
        <w:rPr>
          <w:rStyle w:val="bjh-p"/>
          <w:rFonts w:ascii="Arial" w:hAnsi="Arial" w:cs="Arial"/>
          <w:color w:val="333333"/>
        </w:rPr>
        <w:t>40</w:t>
      </w:r>
      <w:r>
        <w:rPr>
          <w:rStyle w:val="bjh-p"/>
          <w:rFonts w:ascii="Arial" w:hAnsi="Arial" w:cs="Arial"/>
          <w:color w:val="333333"/>
        </w:rPr>
        <w:t>％（合并财务报表口径）。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（五）持有金融控股公司</w:t>
      </w:r>
      <w:r>
        <w:rPr>
          <w:rStyle w:val="bjh-p"/>
          <w:rFonts w:ascii="Arial" w:hAnsi="Arial" w:cs="Arial"/>
          <w:color w:val="333333"/>
        </w:rPr>
        <w:t>5</w:t>
      </w:r>
      <w:r>
        <w:rPr>
          <w:rStyle w:val="bjh-p"/>
          <w:rFonts w:ascii="Arial" w:hAnsi="Arial" w:cs="Arial"/>
          <w:color w:val="333333"/>
        </w:rPr>
        <w:t>％以上股份的自然人，应当具有履行金融机构股东权利和义务所需的知识、经验和能力。</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金融控股公司主要股东、控股股东和实际控制人不得以发行、管理或通过其他手段控制的金融产品持有该金融控股公司股份。</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金融控股公司股东或实际控制人为经认可的法人的，应具备的条件另行规定。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第十条</w:t>
      </w:r>
      <w:r>
        <w:rPr>
          <w:rStyle w:val="bjh-p"/>
          <w:rFonts w:ascii="Arial" w:hAnsi="Arial" w:cs="Arial"/>
          <w:color w:val="333333"/>
        </w:rPr>
        <w:t> </w:t>
      </w:r>
      <w:r>
        <w:rPr>
          <w:rStyle w:val="bjh-p"/>
          <w:rFonts w:ascii="Arial" w:hAnsi="Arial" w:cs="Arial"/>
          <w:color w:val="333333"/>
        </w:rPr>
        <w:t>非金融企业、自然人及经认可的法人存在下列情形之一的，不得成为金融控股公司的主要股东、控股股东或实际控制人：</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（一）股权存在权属纠纷。</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（二）曾经委托他人或接受他人委托持有金融控股公司或金融机构股权。</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（三）曾经虚假投资、循环注资金融机构，或在投资金融控股公司或金融机构时，有提供虚假承诺或虚假材料行为。</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（四）曾经投资金融控股公司或金融机构，对金融控股公司或金融机构经营失败或重大违规行为负有重大责任。</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（五）曾经投资金融控股公司或金融机构，拒不配合中国人民银行或国务院银行保险监督管理机构、国务院证券监督管理机构、国家外汇管理部门监管。</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第十一条</w:t>
      </w:r>
      <w:r>
        <w:rPr>
          <w:rStyle w:val="bjh-p"/>
          <w:rFonts w:ascii="Arial" w:hAnsi="Arial" w:cs="Arial"/>
          <w:color w:val="333333"/>
        </w:rPr>
        <w:t>金融控股公司的控股股东或实际控制人不得存在以下情形：</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（一）通过特定目的载体或委托他人持股等方式规避金融控股公司监管。</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（二）关联方众多，股权关系复杂、不透明或存在权属纠纷，恶意开展关联交易，恶意使用关联关系。</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（三）滥用市场垄断地位或技术优势开展不正当竞争。</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（四）操纵市场、扰乱金融秩序。</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（五）五年内转让所持有的金融控股公司股份。</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（六）其他可能对金融控股公司经营管理产生重大不利影响的情形。</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第十二条</w:t>
      </w:r>
      <w:r>
        <w:rPr>
          <w:rStyle w:val="bjh-p"/>
          <w:rFonts w:ascii="Arial" w:hAnsi="Arial" w:cs="Arial"/>
          <w:color w:val="333333"/>
        </w:rPr>
        <w:t> </w:t>
      </w:r>
      <w:r>
        <w:rPr>
          <w:rStyle w:val="bjh-p"/>
          <w:rFonts w:ascii="Arial" w:hAnsi="Arial" w:cs="Arial"/>
          <w:color w:val="333333"/>
        </w:rPr>
        <w:t>金融控股公司股东应当以合法自有资金投资金融控股公司，确保投资控股金融控股公司资金来源真实、可靠。</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金融控股公司股东不得以委托资金、债务资金等非自有资金以及投资基金等方式投资金融控股公司，不得委托他人或接受他人委托持有金融控股公司的股权，法律、行政法规另有规定的除外。</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金融控股公司应当以合法自有资金投资控股金融机构，不得对金融机构进行虚假注资、循环注资，不得抽逃金融机构资金。</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中国人民银行对金融控股公司的资本合规性实施穿透管理，向上核查投资控股金融控股公司的资金来源，向下会同其他国务院金融管理部门核查金融控股公司投资控股金融机构的资金来源。</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第十三条</w:t>
      </w:r>
      <w:r>
        <w:rPr>
          <w:rStyle w:val="bjh-p"/>
          <w:rFonts w:ascii="Arial" w:hAnsi="Arial" w:cs="Arial"/>
          <w:color w:val="333333"/>
        </w:rPr>
        <w:t>设立金融控股公司，应当经中国人民银行批准，依照金融机构管理。</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本办法实施前已具备第六条情形的机构，拟申请成为金融控股公司的，应当在本办法实施之日起</w:t>
      </w:r>
      <w:r>
        <w:rPr>
          <w:rStyle w:val="bjh-p"/>
          <w:rFonts w:ascii="Arial" w:hAnsi="Arial" w:cs="Arial"/>
          <w:color w:val="333333"/>
        </w:rPr>
        <w:t>12</w:t>
      </w:r>
      <w:r>
        <w:rPr>
          <w:rStyle w:val="bjh-p"/>
          <w:rFonts w:ascii="Arial" w:hAnsi="Arial" w:cs="Arial"/>
          <w:color w:val="333333"/>
        </w:rPr>
        <w:t>个月内向中国人民银行提出申请。</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本办法实施后，拟控股或实际控制两个或两个以上不同类型金融机构，并具有本办法第六条规定设立金融控股公司情形的，应当向中国人民银行申请。</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申请设立金融控股公司应当提交以下文件、资料：</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（一）章程草案。</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（二）拟任职的董事、高级管理人员的资格证明。</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（三）法定验资机构出具的验资证明。</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（四）股东名册及其出资额、股份。</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（五）持有注册资本</w:t>
      </w:r>
      <w:r>
        <w:rPr>
          <w:rStyle w:val="bjh-p"/>
          <w:rFonts w:ascii="Arial" w:hAnsi="Arial" w:cs="Arial"/>
          <w:color w:val="333333"/>
        </w:rPr>
        <w:t>5</w:t>
      </w:r>
      <w:r>
        <w:rPr>
          <w:rStyle w:val="bjh-p"/>
          <w:rFonts w:ascii="Arial" w:hAnsi="Arial" w:cs="Arial"/>
          <w:color w:val="333333"/>
        </w:rPr>
        <w:t>％以上的股东的资信证明和有关资料。</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（六）经营方针和计划。</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（七）经营场所、安全防范措施和与业务有关的其他设施的资料。</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（八）其他需专门说明的事项及申请材料真实性声明。</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中国人民银行应当自受理申请之日起六个月内作出批准或不予批准的书面决定；决定不批准的，应当说明理由。</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设立许可的实施细则由中国人民银行另行制定。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中国人民银行批准后，应当颁发金融控股公司许可证，并由金融控股公司凭该许可证向市场监督管理部门办理登记，领取营业执照。未经中国人民银行批准，不得注册登记为金融控股公司。</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金融控股公司名称应包含</w:t>
      </w:r>
      <w:r>
        <w:rPr>
          <w:rStyle w:val="bjh-p"/>
          <w:rFonts w:ascii="Arial" w:hAnsi="Arial" w:cs="Arial"/>
          <w:color w:val="333333"/>
        </w:rPr>
        <w:t>“</w:t>
      </w:r>
      <w:r>
        <w:rPr>
          <w:rStyle w:val="bjh-p"/>
          <w:rFonts w:ascii="Arial" w:hAnsi="Arial" w:cs="Arial"/>
          <w:color w:val="333333"/>
        </w:rPr>
        <w:t>金融控股</w:t>
      </w:r>
      <w:r>
        <w:rPr>
          <w:rStyle w:val="bjh-p"/>
          <w:rFonts w:ascii="Arial" w:hAnsi="Arial" w:cs="Arial"/>
          <w:color w:val="333333"/>
        </w:rPr>
        <w:t>”</w:t>
      </w:r>
      <w:r>
        <w:rPr>
          <w:rStyle w:val="bjh-p"/>
          <w:rFonts w:ascii="Arial" w:hAnsi="Arial" w:cs="Arial"/>
          <w:color w:val="333333"/>
        </w:rPr>
        <w:t>字样，未取得金融控股公司许可证的，不得从事本办法第六条所规定的金融控股公司业务，不得在名称中使用</w:t>
      </w:r>
      <w:r>
        <w:rPr>
          <w:rStyle w:val="bjh-p"/>
          <w:rFonts w:ascii="Arial" w:hAnsi="Arial" w:cs="Arial"/>
          <w:color w:val="333333"/>
        </w:rPr>
        <w:t>“</w:t>
      </w:r>
      <w:r>
        <w:rPr>
          <w:rStyle w:val="bjh-p"/>
          <w:rFonts w:ascii="Arial" w:hAnsi="Arial" w:cs="Arial"/>
          <w:color w:val="333333"/>
        </w:rPr>
        <w:t>金融控股</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金融集团</w:t>
      </w:r>
      <w:r>
        <w:rPr>
          <w:rStyle w:val="bjh-p"/>
          <w:rFonts w:ascii="Arial" w:hAnsi="Arial" w:cs="Arial"/>
          <w:color w:val="333333"/>
        </w:rPr>
        <w:t>”</w:t>
      </w:r>
      <w:r>
        <w:rPr>
          <w:rStyle w:val="bjh-p"/>
          <w:rFonts w:ascii="Arial" w:hAnsi="Arial" w:cs="Arial"/>
          <w:color w:val="333333"/>
        </w:rPr>
        <w:t>等字样。</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第十四条</w:t>
      </w:r>
      <w:r>
        <w:rPr>
          <w:rStyle w:val="bjh-p"/>
          <w:rFonts w:ascii="Arial" w:hAnsi="Arial" w:cs="Arial"/>
          <w:color w:val="333333"/>
        </w:rPr>
        <w:t> </w:t>
      </w:r>
      <w:r>
        <w:rPr>
          <w:rStyle w:val="bjh-p"/>
          <w:rFonts w:ascii="Arial" w:hAnsi="Arial" w:cs="Arial"/>
          <w:color w:val="333333"/>
        </w:rPr>
        <w:t>申请设立金融控股公司或企业集团母公司申请作为金融控股公司时，发起人或控股股东应当就以下内容出具说明或承诺函：</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（一）投资设立金融控股公司的目的。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（二）金融控股公司的真实资本来源，金融控股公司投资控股金融机构的真实资金来源。</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（三）金融控股公司的组织架构和管理模式。</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（四）金融控股公司的控股股东、实际控制人、受益所有人、一致行动人以及关联方。</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（五）在金融控股公司设立之时，金融控股公司的股东之间无关联关系。</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（六）金融控股公司与关联方之间、关联方相互之间不进行不当关联交易。</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（七）必要时向金融控股公司补充资本。</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（八）必要时金融控股公司向所控股金融机构及时补充资本金。</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（九）承诺遵守本办法规定。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以上事项发生变化的，应当重新出具说明或承诺函。</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第十五条</w:t>
      </w:r>
      <w:r>
        <w:rPr>
          <w:rStyle w:val="bjh-p"/>
          <w:rFonts w:ascii="Arial" w:hAnsi="Arial" w:cs="Arial"/>
          <w:color w:val="333333"/>
        </w:rPr>
        <w:t>金融控股公司有下列事项之一的，应当经中国人民银行批准：</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（一）变更名称、住所、注册资本。</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（二）修改公司章程。</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（三）变更持有</w:t>
      </w:r>
      <w:r>
        <w:rPr>
          <w:rStyle w:val="bjh-p"/>
          <w:rFonts w:ascii="Arial" w:hAnsi="Arial" w:cs="Arial"/>
          <w:color w:val="333333"/>
        </w:rPr>
        <w:t>5</w:t>
      </w:r>
      <w:r>
        <w:rPr>
          <w:rStyle w:val="bjh-p"/>
          <w:rFonts w:ascii="Arial" w:hAnsi="Arial" w:cs="Arial"/>
          <w:color w:val="333333"/>
        </w:rPr>
        <w:t>％以上股权的主要股东、实际控制人。</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（四）投资控股其他金融机构。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（五）增加或减少对所控股金融机构持股或出资比例，导致金融控股公司实际控制权益变更或丧失的。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（六）金融控股公司分立、合并、终止或解散。</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中国人民银行自受理上述事项申请之日起三个月内作出批准或不予批准的决定。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金融控股公司依法终止其业务活动，应当注销其金融控股公司许可证。</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第十六条</w:t>
      </w:r>
      <w:r>
        <w:rPr>
          <w:rStyle w:val="bjh-p"/>
          <w:rFonts w:ascii="Arial" w:hAnsi="Arial" w:cs="Arial"/>
          <w:color w:val="333333"/>
        </w:rPr>
        <w:t>金融控股公司除对所控股的金融机构进行股权管理外，还可以经中国人民银行批准，对所控股的金融机构进行流动性支持。金融控股公司应当严格规范该资金使用，并不得为其主要股东、控股股东和实际控制人提供融资支持。</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金融控股公司开展跨境投融资活动，应当遵守国家有关跨境投融资及外汇管理规定。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第十七条</w:t>
      </w:r>
      <w:r>
        <w:rPr>
          <w:rStyle w:val="bjh-p"/>
          <w:rFonts w:ascii="Arial" w:hAnsi="Arial" w:cs="Arial"/>
          <w:color w:val="333333"/>
        </w:rPr>
        <w:t> </w:t>
      </w:r>
      <w:r>
        <w:rPr>
          <w:rStyle w:val="bjh-p"/>
          <w:rFonts w:ascii="Arial" w:hAnsi="Arial" w:cs="Arial"/>
          <w:color w:val="333333"/>
        </w:rPr>
        <w:t>金融控股公司可以投资经国务院金融管理部门认定与金融业务相关的机构，但投资总额账面价值原则上不得超过金融控股公司净资产的</w:t>
      </w:r>
      <w:r>
        <w:rPr>
          <w:rStyle w:val="bjh-p"/>
          <w:rFonts w:ascii="Arial" w:hAnsi="Arial" w:cs="Arial"/>
          <w:color w:val="333333"/>
        </w:rPr>
        <w:t>15</w:t>
      </w:r>
      <w:r>
        <w:rPr>
          <w:rStyle w:val="bjh-p"/>
          <w:rFonts w:ascii="Arial" w:hAnsi="Arial" w:cs="Arial"/>
          <w:color w:val="333333"/>
        </w:rPr>
        <w:t>％。国家另有规定的除外。</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公司治理与协同效应</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第十八条</w:t>
      </w:r>
      <w:r>
        <w:rPr>
          <w:rStyle w:val="bjh-p"/>
          <w:rFonts w:ascii="Arial" w:hAnsi="Arial" w:cs="Arial"/>
          <w:color w:val="333333"/>
        </w:rPr>
        <w:t>金融控股公司应当具有简明、清晰、可穿透的股权结构，实际控制人和最终受益人可识别，法人层级合理，与自身资本规模、经营管理能力和风险管控水平相适应。本办法实施前，已经存在的、股权结构不符合本条要求的企业集团，应当在国务院金融管理部门认可的期限内，降低组织架构复杂程度，简化法人层级。本办法实施后，新增的金融控股公司，金融控股公司和所控股金融机构法人层级原则上不得超过三级。金融控股公司股权结构或法人层级发生变化时，应当向中国人民银行说明情况，对属于应当申请批准的事项，应当依法履行审批程序。</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金融控股公司所控股金融机构不得反向持有母公司股权。金融控股公司所控股金融机构之间不得交叉持股。金融控股公司所控股金融机构不得再成为其他类型金融机构的主要股东，但金融机构控股与其自身相同类型的或属业务延伸的金融机构，并经国务院金融管理部门认可的除外。本办法实施前，金融控股公司所控股金融机构已经成为其他类型金融机构的主要股东的，鼓励其将股权转让至金融控股公司。企业集团整体被认定为金融控股集团的，集团内的金融机构与非金融机构之间不得交叉持股。国家另有规定的除外。</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在本办法实施前已经存在的企业集团，股权结构不符合本条第一款、第二款要求的，应当在提出申请设立金融控股公司时，向中国人民银行提交持股整改计划，明确所涉及的股份和整改时间进度安排，经中国人民银行会同国务院银行保险监督管理机构、国务院证券监督管理机构认可后实施，持股整改计划完成后由国务院金融管理部门予以认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实施经中国人民银行会同国务院银行保险监督管理机构、国务院证券监督管理机构认可的持股整改计划时，企业集团内部的股权整合、划转、转让涉及的资产评估增值等，符合税收政策规定的，可以享受相应的税收优惠政策；因改制接收相关股权环节，涉及证券登记结算机构变更登记的，免收过户费；涉及金融控股公司成为金融机构股东需要重新进行股东资格核准的，国务院金融管理部门应当适用与金融控股公司相适应的股东资格条件，对于新设的金融控股公司，按监管程序豁免连续盈利要求。</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第十九条</w:t>
      </w:r>
      <w:r>
        <w:rPr>
          <w:rStyle w:val="bjh-p"/>
          <w:rFonts w:ascii="Arial" w:hAnsi="Arial" w:cs="Arial"/>
          <w:color w:val="333333"/>
        </w:rPr>
        <w:t>同一投资人及其关联方、一致行动人，作为主要股东参股金融控股公司的数量不得超过两家，作为控股股东和实际控制人控股金融控股公司的数量不得超过一家。</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根据国务院授权持有金融控股公司股权的投资主体，以及经中国人民银行认可参与金融控股公司风险处置的投资主体，不受本条前款规定限制。</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第二十条</w:t>
      </w:r>
      <w:r>
        <w:rPr>
          <w:rStyle w:val="bjh-p"/>
          <w:rFonts w:ascii="Arial" w:hAnsi="Arial" w:cs="Arial"/>
          <w:color w:val="333333"/>
        </w:rPr>
        <w:t>金融控股公司应当完善公司治理结构，依法参与所控股机构的法人治理，促进所控股机构安全稳健运行。</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不得滥用实质控制权，干预所控股机构的正常独立自主经营，损害所控股机构以及其相关利益人的合法权益。金融控股公司滥用实质控制权或采取不正当干预行为导致所控股机构发生损失的，应当对该损失承担责任。</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第二十一条</w:t>
      </w:r>
      <w:r>
        <w:rPr>
          <w:rStyle w:val="bjh-p"/>
          <w:rFonts w:ascii="Arial" w:hAnsi="Arial" w:cs="Arial"/>
          <w:color w:val="333333"/>
        </w:rPr>
        <w:t>金融控股公司的董事、监事和高级管理人员的任职条件由中国人民银行规定。金融控股公司变更董事、监事和高级管理人员，应当符合任职条件，并向中国人民银行备案。</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金融控股公司的高级管理人员原则上可以兼任所控股机构的董事或监事，但不能兼任所控股机构的高级管理人员。所控股机构的高级管理人员不得相互兼任。</w:t>
      </w:r>
    </w:p>
    <w:p w:rsidR="006126C9" w:rsidRPr="00581852" w:rsidRDefault="006126C9" w:rsidP="006126C9">
      <w:pPr>
        <w:pStyle w:val="a5"/>
        <w:shd w:val="clear" w:color="auto" w:fill="FFFFFF"/>
        <w:spacing w:before="0" w:beforeAutospacing="0" w:after="0" w:afterAutospacing="0" w:line="360" w:lineRule="atLeast"/>
        <w:jc w:val="both"/>
        <w:rPr>
          <w:rFonts w:ascii="Arial" w:hAnsi="Arial" w:cs="Arial"/>
          <w:b/>
          <w:color w:val="333333"/>
        </w:rPr>
      </w:pPr>
      <w:r>
        <w:rPr>
          <w:rStyle w:val="bjh-strong"/>
          <w:rFonts w:ascii="Arial" w:hAnsi="Arial" w:cs="Arial"/>
          <w:b/>
          <w:bCs/>
          <w:color w:val="333333"/>
          <w:sz w:val="27"/>
          <w:szCs w:val="27"/>
        </w:rPr>
        <w:lastRenderedPageBreak/>
        <w:t>第二十二条</w:t>
      </w:r>
      <w:r>
        <w:rPr>
          <w:rStyle w:val="bjh-p"/>
          <w:rFonts w:ascii="Arial" w:hAnsi="Arial" w:cs="Arial"/>
          <w:color w:val="333333"/>
        </w:rPr>
        <w:t> </w:t>
      </w:r>
      <w:r w:rsidRPr="00581852">
        <w:rPr>
          <w:rStyle w:val="bjh-p"/>
          <w:rFonts w:ascii="Arial" w:hAnsi="Arial" w:cs="Arial"/>
          <w:b/>
          <w:color w:val="333333"/>
        </w:rPr>
        <w:t>金融控股公司与其所控股机构之间、其所控股机构之间在开展业务协同，共享客户信息、销售团队、信息技术系统、运营后台、营业场所等资源时，不得损害客户权益，应当依法明确风险承担主体，防止风险责任不清、交叉传染及利益冲突。</w:t>
      </w:r>
    </w:p>
    <w:p w:rsidR="006126C9" w:rsidRPr="004A37A2" w:rsidRDefault="006126C9" w:rsidP="006126C9">
      <w:pPr>
        <w:pStyle w:val="a5"/>
        <w:shd w:val="clear" w:color="auto" w:fill="FFFFFF"/>
        <w:spacing w:before="0" w:beforeAutospacing="0" w:after="0" w:afterAutospacing="0" w:line="360" w:lineRule="atLeast"/>
        <w:jc w:val="both"/>
        <w:rPr>
          <w:rFonts w:ascii="Arial" w:hAnsi="Arial" w:cs="Arial"/>
          <w:b/>
          <w:color w:val="333333"/>
        </w:rPr>
      </w:pPr>
      <w:r>
        <w:rPr>
          <w:rStyle w:val="bjh-strong"/>
          <w:rFonts w:ascii="Arial" w:hAnsi="Arial" w:cs="Arial"/>
          <w:b/>
          <w:bCs/>
          <w:color w:val="333333"/>
          <w:sz w:val="27"/>
          <w:szCs w:val="27"/>
        </w:rPr>
        <w:t>第二十三条</w:t>
      </w:r>
      <w:r w:rsidR="004A37A2">
        <w:rPr>
          <w:rStyle w:val="bjh-strong"/>
          <w:rFonts w:ascii="Arial" w:hAnsi="Arial" w:cs="Arial" w:hint="eastAsia"/>
          <w:b/>
          <w:bCs/>
          <w:color w:val="333333"/>
          <w:sz w:val="27"/>
          <w:szCs w:val="27"/>
        </w:rPr>
        <w:t xml:space="preserve"> </w:t>
      </w:r>
      <w:r w:rsidRPr="004A37A2">
        <w:rPr>
          <w:rStyle w:val="bjh-p"/>
          <w:rFonts w:ascii="Arial" w:hAnsi="Arial" w:cs="Arial"/>
          <w:b/>
          <w:color w:val="333333"/>
        </w:rPr>
        <w:t>金融控股公司及其所控股机构在集团内部共享客户信息时，应当确保依法合规、风险可控并经客户书面授权或同意，防止客户信息被不当使用。</w:t>
      </w:r>
    </w:p>
    <w:p w:rsidR="006126C9" w:rsidRPr="004A37A2" w:rsidRDefault="006126C9" w:rsidP="006126C9">
      <w:pPr>
        <w:pStyle w:val="a5"/>
        <w:shd w:val="clear" w:color="auto" w:fill="FFFFFF"/>
        <w:spacing w:before="0" w:beforeAutospacing="0" w:after="0" w:afterAutospacing="0" w:line="360" w:lineRule="atLeast"/>
        <w:jc w:val="both"/>
        <w:rPr>
          <w:rFonts w:ascii="Arial" w:hAnsi="Arial" w:cs="Arial"/>
          <w:b/>
          <w:color w:val="333333"/>
        </w:rPr>
      </w:pPr>
      <w:r w:rsidRPr="004A37A2">
        <w:rPr>
          <w:rStyle w:val="bjh-p"/>
          <w:rFonts w:ascii="Arial" w:hAnsi="Arial" w:cs="Arial"/>
          <w:b/>
          <w:color w:val="333333"/>
        </w:rPr>
        <w:t>金融控股公司所控股机构在提供综合化金融服务时，应当尊重客户知情权和选择权。</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并表管理与风险管理</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第二十四条</w:t>
      </w:r>
      <w:r>
        <w:rPr>
          <w:rStyle w:val="bjh-p"/>
          <w:rFonts w:ascii="Arial" w:hAnsi="Arial" w:cs="Arial"/>
          <w:color w:val="333333"/>
        </w:rPr>
        <w:t> </w:t>
      </w:r>
      <w:r>
        <w:rPr>
          <w:rStyle w:val="bjh-p"/>
          <w:rFonts w:ascii="Arial" w:hAnsi="Arial" w:cs="Arial"/>
          <w:color w:val="333333"/>
        </w:rPr>
        <w:t>金融控股公司应当对纳入并表管理范围内所控股机构的公司治理、资本和杠杆率等进行全面持续管控，有效识别、计量、监测和控制金融控股集团的总体风险状况。企业集团整体被认定为金融控股集团的，应当对集团内从事金融活动的机构实行并表管理。</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第二十五条</w:t>
      </w:r>
      <w:r>
        <w:rPr>
          <w:rStyle w:val="bjh-p"/>
          <w:rFonts w:ascii="Arial" w:hAnsi="Arial" w:cs="Arial"/>
          <w:color w:val="333333"/>
        </w:rPr>
        <w:t>不属于金融控股公司所控股机构，但具有以下情形的，应当纳入并表管理范围：</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（一）具有业务同质性的各类被投资机构，其资产规模占金融控股公司并表资产规模的比例较小，但加总的业务和风险足以对金融控股公司的财务状况及风险水平造成重大影响的。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（二）被投资机构所产生的风险和损失足以对金融控股公司造成重大影响的，包括但不限于流动性风险、法律合规风险、声誉风险等。</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（三）通过境内外所控股机构、空壳公司及其他复杂股权设计成立的、有证据表明金融控股公司实质控制或对该机构的经营管理存在重大影响的其他被投资机构。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属于金融控股公司所控股机构，但其股权被金融控股公司短期持有，不会对金融控股公司产生重大风险影响的，包括准备在一个会计年度之内出售或清盘、权益性资本在</w:t>
      </w:r>
      <w:r>
        <w:rPr>
          <w:rStyle w:val="bjh-p"/>
          <w:rFonts w:ascii="Arial" w:hAnsi="Arial" w:cs="Arial"/>
          <w:color w:val="333333"/>
        </w:rPr>
        <w:t>50</w:t>
      </w:r>
      <w:r>
        <w:rPr>
          <w:rStyle w:val="bjh-p"/>
          <w:rFonts w:ascii="Arial" w:hAnsi="Arial" w:cs="Arial"/>
          <w:color w:val="333333"/>
        </w:rPr>
        <w:t>％以上的，经中国人民银行认可后，可以不纳入金融控股公司并表管理范围。</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以企业会计准则和资本监管规定等为基础进行并表管理，具体规则由中国人民银行会同相关部门另行制定。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第二十六条</w:t>
      </w:r>
      <w:r>
        <w:rPr>
          <w:rStyle w:val="bjh-p"/>
          <w:rFonts w:ascii="Arial" w:hAnsi="Arial" w:cs="Arial"/>
          <w:color w:val="333333"/>
        </w:rPr>
        <w:t> </w:t>
      </w:r>
      <w:r>
        <w:rPr>
          <w:rStyle w:val="bjh-p"/>
          <w:rFonts w:ascii="Arial" w:hAnsi="Arial" w:cs="Arial"/>
          <w:color w:val="333333"/>
        </w:rPr>
        <w:t>金融控股公司、所控股金融机构以及集团整体的资本应当与资产规模和风险水平相适应，资本充足水平应当以并表管理为基础计算，持续符合中国人民银行和国务院银行保险监督管理机构、国务院证券监督管理机构规定。具体办法由中国人民银行另行制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lastRenderedPageBreak/>
        <w:t>第二十七条</w:t>
      </w:r>
      <w:r>
        <w:rPr>
          <w:rStyle w:val="bjh-p"/>
          <w:rFonts w:ascii="Arial" w:hAnsi="Arial" w:cs="Arial"/>
          <w:color w:val="333333"/>
        </w:rPr>
        <w:t>金融控股公司应当建立资本补充机制，当所控股金融机构资本不足时，金融控股公司应当及时补充资本。</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金融控股公司可以依法发行合格资本工具，保持金融控股集团整体资本充足。</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第二十八条</w:t>
      </w:r>
      <w:r>
        <w:rPr>
          <w:rStyle w:val="bjh-p"/>
          <w:rFonts w:ascii="Arial" w:hAnsi="Arial" w:cs="Arial"/>
          <w:color w:val="333333"/>
        </w:rPr>
        <w:t> </w:t>
      </w:r>
      <w:r>
        <w:rPr>
          <w:rStyle w:val="bjh-p"/>
          <w:rFonts w:ascii="Arial" w:hAnsi="Arial" w:cs="Arial"/>
          <w:color w:val="333333"/>
        </w:rPr>
        <w:t>金融控股公司应当严格控制债务风险，保持债务规模和期限结构合理适当。</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金融控股公司应当加强资产负债管理，严格管理资产抵押、质押等行为，定期对资产进行评估，逐步实现动态评价，并按照企业会计准则相关规定计提减值准备。</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第二十九条</w:t>
      </w:r>
      <w:r>
        <w:rPr>
          <w:rStyle w:val="bjh-p"/>
          <w:rFonts w:ascii="Arial" w:hAnsi="Arial" w:cs="Arial"/>
          <w:color w:val="333333"/>
        </w:rPr>
        <w:t>金融控股公司应当建立与金融控股集团组织架构、业务规模、复杂程度和声誉影响相适应的全面风险管理体系。</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全面风险管理体系应当覆盖金融控股公司所控股的、由地方政府依法批设或监管的从事金融活动的机构。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金融控股公司应当建立健全声誉风险监测、评估和应急处置机制，加强品牌等方面的管理，降低声誉风险事件对集团整体稳健性的负面影响。</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第三十条</w:t>
      </w:r>
      <w:r>
        <w:rPr>
          <w:rStyle w:val="bjh-p"/>
          <w:rFonts w:ascii="Arial" w:hAnsi="Arial" w:cs="Arial"/>
          <w:color w:val="333333"/>
        </w:rPr>
        <w:t>金融控股公司应当要求所控股金融机构限期建立全面风险管理体系，督促所控股金融机构采取定性和定量相结合的方法，识别、计量、评估、监测、报告、控制或缓释所控股金融机构所承担的各类风险。</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各类风险包括信用风险、市场风险、流动性风险、操作风险、声誉风险、战略风险、信息科技风险以及其他风险。</w:t>
      </w:r>
    </w:p>
    <w:p w:rsidR="006126C9" w:rsidRPr="00C16AD0" w:rsidRDefault="006126C9" w:rsidP="006126C9">
      <w:pPr>
        <w:pStyle w:val="a5"/>
        <w:shd w:val="clear" w:color="auto" w:fill="FFFFFF"/>
        <w:spacing w:before="0" w:beforeAutospacing="0" w:after="0" w:afterAutospacing="0" w:line="360" w:lineRule="atLeast"/>
        <w:jc w:val="both"/>
        <w:rPr>
          <w:rFonts w:ascii="Arial" w:hAnsi="Arial" w:cs="Arial"/>
          <w:b/>
          <w:color w:val="333333"/>
        </w:rPr>
      </w:pPr>
      <w:r>
        <w:rPr>
          <w:rStyle w:val="bjh-strong"/>
          <w:rFonts w:ascii="Arial" w:hAnsi="Arial" w:cs="Arial"/>
          <w:b/>
          <w:bCs/>
          <w:color w:val="333333"/>
          <w:sz w:val="27"/>
          <w:szCs w:val="27"/>
        </w:rPr>
        <w:t>第三十一条</w:t>
      </w:r>
      <w:r>
        <w:rPr>
          <w:rStyle w:val="bjh-p"/>
          <w:rFonts w:ascii="Arial" w:hAnsi="Arial" w:cs="Arial"/>
          <w:color w:val="333333"/>
        </w:rPr>
        <w:t> </w:t>
      </w:r>
      <w:r w:rsidRPr="00C16AD0">
        <w:rPr>
          <w:rStyle w:val="bjh-p"/>
          <w:rFonts w:ascii="Arial" w:hAnsi="Arial" w:cs="Arial"/>
          <w:b/>
          <w:color w:val="333333"/>
        </w:rPr>
        <w:t>金融控股公司应当建立与服务实体经济相适应的金融控股集团风险偏好体系，明确集团在实现其战略目标过程中愿意并能够承担的风险水平，确定风险管理目标，确定集团对各类风险的风险容忍度和风险限额。</w:t>
      </w:r>
    </w:p>
    <w:p w:rsidR="006126C9" w:rsidRPr="00C16AD0" w:rsidRDefault="006126C9" w:rsidP="006126C9">
      <w:pPr>
        <w:pStyle w:val="a5"/>
        <w:shd w:val="clear" w:color="auto" w:fill="FFFFFF"/>
        <w:spacing w:before="0" w:beforeAutospacing="0" w:after="0" w:afterAutospacing="0" w:line="360" w:lineRule="atLeast"/>
        <w:jc w:val="both"/>
        <w:rPr>
          <w:rFonts w:ascii="Arial" w:hAnsi="Arial" w:cs="Arial"/>
          <w:b/>
          <w:color w:val="333333"/>
        </w:rPr>
      </w:pPr>
      <w:r w:rsidRPr="00C16AD0">
        <w:rPr>
          <w:rStyle w:val="bjh-p"/>
          <w:rFonts w:ascii="Arial" w:hAnsi="Arial" w:cs="Arial"/>
          <w:b/>
          <w:color w:val="333333"/>
        </w:rPr>
        <w:t>金融控股公司应当将风险管理要求嵌入集团经营管理流程和信息科技系统中，依据所控股金融机构发展战略和风险偏好，将各类风险指标和风险限额分配到所控股金融机构，建立超限额处置机制，及时监控风险管理制度执行情况。</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第三十二条</w:t>
      </w:r>
      <w:r>
        <w:rPr>
          <w:rStyle w:val="bjh-p"/>
          <w:rFonts w:ascii="Arial" w:hAnsi="Arial" w:cs="Arial"/>
          <w:color w:val="333333"/>
        </w:rPr>
        <w:t> </w:t>
      </w:r>
      <w:r>
        <w:rPr>
          <w:rStyle w:val="bjh-p"/>
          <w:rFonts w:ascii="Arial" w:hAnsi="Arial" w:cs="Arial"/>
          <w:color w:val="333333"/>
        </w:rPr>
        <w:t>金融控股公司应当在并表基础上管理集团风险集中与大额风险暴露。金融控股公司应当建立大额风险暴露的管理政策和内控制度，实时监控大额风险暴露，建立大额风险暴露的预警报告制度，以及与风险限额相匹配的风险分散措施等。</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集团风险集中与大额风险暴露是指集团并表后的资产组合对单个交易对手或一组有关联的交易对手、行业或地理区域、特定类别的产品等超过集团资本一定比例的风险集中暴露。</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第三十三条</w:t>
      </w:r>
      <w:r>
        <w:rPr>
          <w:rStyle w:val="bjh-p"/>
          <w:rFonts w:ascii="Arial" w:hAnsi="Arial" w:cs="Arial"/>
          <w:color w:val="333333"/>
        </w:rPr>
        <w:t> </w:t>
      </w:r>
      <w:r>
        <w:rPr>
          <w:rStyle w:val="bjh-p"/>
          <w:rFonts w:ascii="Arial" w:hAnsi="Arial" w:cs="Arial"/>
          <w:color w:val="333333"/>
        </w:rPr>
        <w:t>金融控股公司应当统筹协调集团对同一企业（含企业集团）授信工作，提升集团信用风险防控水平。</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金融控股公司应当主动掌握集团对同一企业融资情况，对融资余额较大的企业，金融控股公司应当牵头</w:t>
      </w:r>
      <w:r w:rsidRPr="00266D5E">
        <w:rPr>
          <w:rStyle w:val="bjh-p"/>
          <w:rFonts w:ascii="Arial" w:hAnsi="Arial" w:cs="Arial"/>
          <w:b/>
          <w:color w:val="333333"/>
        </w:rPr>
        <w:t>建立集团内信息共享和联合授信机制</w:t>
      </w:r>
      <w:r>
        <w:rPr>
          <w:rStyle w:val="bjh-p"/>
          <w:rFonts w:ascii="Arial" w:hAnsi="Arial" w:cs="Arial"/>
          <w:color w:val="333333"/>
        </w:rPr>
        <w:t>，主要包括协调所控股机构共同收集汇总企业信息，识别隐性关联企业和实际控制人，联合设置企业融资风险预警线等。</w:t>
      </w:r>
      <w:bookmarkStart w:id="0" w:name="_GoBack"/>
      <w:bookmarkEnd w:id="0"/>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金融控股公司应当要求所控股金融机构定期上报从其他金融机构获得的授信额度和使用情况。</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第三十四条</w:t>
      </w:r>
      <w:r>
        <w:rPr>
          <w:rStyle w:val="bjh-p"/>
          <w:rFonts w:ascii="Arial" w:hAnsi="Arial" w:cs="Arial"/>
          <w:color w:val="333333"/>
        </w:rPr>
        <w:t> </w:t>
      </w:r>
      <w:r>
        <w:rPr>
          <w:rStyle w:val="bjh-p"/>
          <w:rFonts w:ascii="Arial" w:hAnsi="Arial" w:cs="Arial"/>
          <w:color w:val="333333"/>
        </w:rPr>
        <w:t>金融控股公司应当建立健全集团整体的风险隔离机制，包括金融控股公司与其所控股机构之间、其所控股机构之间的风险隔离制度，强化法人、人事、信息、财务和关联交易等</w:t>
      </w:r>
      <w:r>
        <w:rPr>
          <w:rStyle w:val="bjh-p"/>
          <w:rFonts w:ascii="Arial" w:hAnsi="Arial" w:cs="Arial"/>
          <w:color w:val="333333"/>
        </w:rPr>
        <w:t>“</w:t>
      </w:r>
      <w:r>
        <w:rPr>
          <w:rStyle w:val="bjh-p"/>
          <w:rFonts w:ascii="Arial" w:hAnsi="Arial" w:cs="Arial"/>
          <w:color w:val="333333"/>
        </w:rPr>
        <w:t>防火墙</w:t>
      </w:r>
      <w:r>
        <w:rPr>
          <w:rStyle w:val="bjh-p"/>
          <w:rFonts w:ascii="Arial" w:hAnsi="Arial" w:cs="Arial"/>
          <w:color w:val="333333"/>
        </w:rPr>
        <w:t>”</w:t>
      </w:r>
      <w:r>
        <w:rPr>
          <w:rStyle w:val="bjh-p"/>
          <w:rFonts w:ascii="Arial" w:hAnsi="Arial" w:cs="Arial"/>
          <w:color w:val="333333"/>
        </w:rPr>
        <w:t>，对集团内部的交叉任职、业务往来、信息共享，以及共用销售团队、信息技术系统、运营后台、营业设施和营业场所等行为进行合理隔离，有效防控风险，保护客户合法权益。</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第三十五条</w:t>
      </w:r>
      <w:r>
        <w:rPr>
          <w:rStyle w:val="bjh-p"/>
          <w:rFonts w:ascii="Arial" w:hAnsi="Arial" w:cs="Arial"/>
          <w:color w:val="333333"/>
        </w:rPr>
        <w:t> </w:t>
      </w:r>
      <w:r>
        <w:rPr>
          <w:rStyle w:val="bjh-p"/>
          <w:rFonts w:ascii="Arial" w:hAnsi="Arial" w:cs="Arial"/>
          <w:color w:val="333333"/>
        </w:rPr>
        <w:t>金融控股公司与其所控股金融机构之间、所控股金融机构之间以及所控股金融机构与集团内其他机构之间的集团内部交易，应当遵守法律、行政法规和中国人民银行、国务院银行保险监督管理机构、国务院证券监督管理机构的相关规定，并按照企业会计准则进行会计处理。其中的</w:t>
      </w:r>
      <w:r>
        <w:rPr>
          <w:rStyle w:val="bjh-p"/>
          <w:rFonts w:ascii="Arial" w:hAnsi="Arial" w:cs="Arial"/>
          <w:color w:val="333333"/>
        </w:rPr>
        <w:t>“</w:t>
      </w:r>
      <w:r>
        <w:rPr>
          <w:rStyle w:val="bjh-p"/>
          <w:rFonts w:ascii="Arial" w:hAnsi="Arial" w:cs="Arial"/>
          <w:color w:val="333333"/>
        </w:rPr>
        <w:t>关联方</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关联方交易</w:t>
      </w:r>
      <w:r>
        <w:rPr>
          <w:rStyle w:val="bjh-p"/>
          <w:rFonts w:ascii="Arial" w:hAnsi="Arial" w:cs="Arial"/>
          <w:color w:val="333333"/>
        </w:rPr>
        <w:t>”</w:t>
      </w:r>
      <w:r>
        <w:rPr>
          <w:rStyle w:val="bjh-p"/>
          <w:rFonts w:ascii="Arial" w:hAnsi="Arial" w:cs="Arial"/>
          <w:color w:val="333333"/>
        </w:rPr>
        <w:t>等概念，以法律、行政法规和财政部有关财务、会计规定为准。</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金融控股公司与其所控股金融机构之外的其他关联方之间发生的关联交易应当遵循市场原则，不得违背公平竞争和反垄断规则。</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应当加强关联交易管理。金融控股公司与其所控股金融机构、其他关联方不得通过各种手段隐匿关联交易和资金真实去向，不得通过关联交易开展不正当利益输送、损害投资者或客户的消费权益、规避监管规定或违规操作。</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金融控股公司股东应当遵守法律、行政法规和中国人民银行的相关规定，不得与金融控股公司进行不当的关联交易，不得利用其对金融控股公司经营管理的影响力获取不正当利益。</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第三十六条</w:t>
      </w:r>
      <w:r>
        <w:rPr>
          <w:rStyle w:val="bjh-p"/>
          <w:rFonts w:ascii="Arial" w:hAnsi="Arial" w:cs="Arial"/>
          <w:color w:val="333333"/>
        </w:rPr>
        <w:t> </w:t>
      </w:r>
      <w:r>
        <w:rPr>
          <w:rStyle w:val="bjh-p"/>
          <w:rFonts w:ascii="Arial" w:hAnsi="Arial" w:cs="Arial"/>
          <w:color w:val="333333"/>
        </w:rPr>
        <w:t>金融控股公司及其所控股机构不得进行以下关联交易：</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（一）利用其实质控制权损害其他股东和客户的合法权益。</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（二）通过内部交易进行监管套利。</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（三）通过第三方间接进行内部交易，损害金融控股公司稳健性。</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（四）金融控股公司所控股金融机构（财务公司除外）向金融控股公司提供融资，或向金融控股公司的股东、其他非金融机构关联方提供无担保融资等。</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（五）金融控股公司所控股金融机构（财务公司除外）向金融控股公司其他关联方提供的融资或担保，超过提供融资或担保的所控股金融机构资本净额的</w:t>
      </w:r>
      <w:r>
        <w:rPr>
          <w:rStyle w:val="bjh-p"/>
          <w:rFonts w:ascii="Arial" w:hAnsi="Arial" w:cs="Arial"/>
          <w:color w:val="333333"/>
        </w:rPr>
        <w:t>10</w:t>
      </w:r>
      <w:r>
        <w:rPr>
          <w:rStyle w:val="bjh-p"/>
          <w:rFonts w:ascii="Arial" w:hAnsi="Arial" w:cs="Arial"/>
          <w:color w:val="333333"/>
        </w:rPr>
        <w:t>％，或超过接受融资或担保的金融控股公司关联方资本净额的</w:t>
      </w:r>
      <w:r>
        <w:rPr>
          <w:rStyle w:val="bjh-p"/>
          <w:rFonts w:ascii="Arial" w:hAnsi="Arial" w:cs="Arial"/>
          <w:color w:val="333333"/>
        </w:rPr>
        <w:t>20</w:t>
      </w:r>
      <w:r>
        <w:rPr>
          <w:rStyle w:val="bjh-p"/>
          <w:rFonts w:ascii="Arial" w:hAnsi="Arial" w:cs="Arial"/>
          <w:color w:val="333333"/>
        </w:rPr>
        <w:t>％，国务院银行保险监督管理机构、国务院证券监督管理机构另有规定的除外。</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（六）金融控股公司所控股金融机构（财务公司除外）和所控股非金融机构接受金融控股公司的股权作为质押标的。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（七）金融控股公司对金融控股集团外的担保余额超过金融控股公司净资产的</w:t>
      </w:r>
      <w:r>
        <w:rPr>
          <w:rStyle w:val="bjh-p"/>
          <w:rFonts w:ascii="Arial" w:hAnsi="Arial" w:cs="Arial"/>
          <w:color w:val="333333"/>
        </w:rPr>
        <w:t>10</w:t>
      </w:r>
      <w:r>
        <w:rPr>
          <w:rStyle w:val="bjh-p"/>
          <w:rFonts w:ascii="Arial" w:hAnsi="Arial" w:cs="Arial"/>
          <w:color w:val="333333"/>
        </w:rPr>
        <w:t>％。</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（八）中国人民银行禁止的其他行为。</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第三十七条</w:t>
      </w:r>
      <w:r>
        <w:rPr>
          <w:rStyle w:val="bjh-p"/>
          <w:rFonts w:ascii="Arial" w:hAnsi="Arial" w:cs="Arial"/>
          <w:color w:val="333333"/>
        </w:rPr>
        <w:t> </w:t>
      </w:r>
      <w:r>
        <w:rPr>
          <w:rStyle w:val="bjh-p"/>
          <w:rFonts w:ascii="Arial" w:hAnsi="Arial" w:cs="Arial"/>
          <w:color w:val="333333"/>
        </w:rPr>
        <w:t>金融控股公司应当按照法律、行政法规和中国人民银行要求，遵循真实、准确、完整的原则，及时进行信息披露。对信息披露中的虚假记载、误导性陈述及重大遗漏等依法承担责任。</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第五章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监督管理</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第三十八条</w:t>
      </w:r>
      <w:r>
        <w:rPr>
          <w:rStyle w:val="bjh-p"/>
          <w:rFonts w:ascii="Arial" w:hAnsi="Arial" w:cs="Arial"/>
          <w:color w:val="333333"/>
        </w:rPr>
        <w:t>中国人民银行会同相关部门依照法律、行政法规、国务院决定及本办法，制定对金融控股公司及其业务活动实施监督管理的实施细则。</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第三十九条</w:t>
      </w:r>
      <w:r>
        <w:rPr>
          <w:rStyle w:val="bjh-p"/>
          <w:rFonts w:ascii="Arial" w:hAnsi="Arial" w:cs="Arial"/>
          <w:color w:val="333333"/>
        </w:rPr>
        <w:t>中国人民银行依照法律、行政法规、国务院决定及本办法，对金融控股公司实施并表监管，在并表基础上，通过报告制度、现场检查、监管谈话、风险评估和预警等方式，监控、评估、防范和化解金融控股公司整体层面的资本充足、关联交易、流动性、声誉等风险，维护金融体系整体稳定。金融控股公司符合系统重要性金融机构认定标准的，应当遵守关于系统重要性金融机构的监管规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第四十条</w:t>
      </w:r>
      <w:r>
        <w:rPr>
          <w:rStyle w:val="bjh-p"/>
          <w:rFonts w:ascii="Arial" w:hAnsi="Arial" w:cs="Arial"/>
          <w:color w:val="333333"/>
        </w:rPr>
        <w:t> </w:t>
      </w:r>
      <w:r>
        <w:rPr>
          <w:rStyle w:val="bjh-p"/>
          <w:rFonts w:ascii="Arial" w:hAnsi="Arial" w:cs="Arial"/>
          <w:color w:val="333333"/>
        </w:rPr>
        <w:t>中国人民银行对金融控股公司主要股东和控股股东进行审查，对其真实股权结构和实际控制人实施穿透监管。</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第四十一条</w:t>
      </w:r>
      <w:r>
        <w:rPr>
          <w:rStyle w:val="bjh-p"/>
          <w:rFonts w:ascii="Arial" w:hAnsi="Arial" w:cs="Arial"/>
          <w:color w:val="333333"/>
        </w:rPr>
        <w:t>中国人民银行对金融控股公司主要股东和控股股东的入股资金进行穿透监管，严格审查入股资金来源、性质与流向。</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第四十二条</w:t>
      </w:r>
      <w:r>
        <w:rPr>
          <w:rStyle w:val="bjh-p"/>
          <w:rFonts w:ascii="Arial" w:hAnsi="Arial" w:cs="Arial"/>
          <w:color w:val="333333"/>
        </w:rPr>
        <w:t> </w:t>
      </w:r>
      <w:r>
        <w:rPr>
          <w:rStyle w:val="bjh-p"/>
          <w:rFonts w:ascii="Arial" w:hAnsi="Arial" w:cs="Arial"/>
          <w:color w:val="333333"/>
        </w:rPr>
        <w:t>中国人民银行根据履行职责的需要，建立统一的金融控股公司监管信息平台和统计制度，有权要求金融控股公司按照规定报送资产负债表、利润表和其他财务会计、统计报表、经营管理资料以及注册会计师出具的审计报告。具体报送要求由中国人民银行另行规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中国人民银行与相关部门之间建立信息共享机制，中国人民银行提供金融控股公司相关监管信息，其他部门提供本领域内的关于金融控股公司的信息。各方应确保信息用于履职需要，遵循保密要求。中国人民银行可以请国务院银行保险监督管理机构、国务院证券监督管理机构提供金融控股公司所控股机构的风险状况、检查报告和监管评级等监督管理信息，所获信息不能满足对金融控股公司监管需要的，中国人民银行可以要求金融控股公司所控股机构直接报送相关信息。</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第四十三条</w:t>
      </w:r>
      <w:r>
        <w:rPr>
          <w:rStyle w:val="bjh-p"/>
          <w:rFonts w:ascii="Arial" w:hAnsi="Arial" w:cs="Arial"/>
          <w:color w:val="333333"/>
        </w:rPr>
        <w:t> </w:t>
      </w:r>
      <w:r>
        <w:rPr>
          <w:rStyle w:val="bjh-p"/>
          <w:rFonts w:ascii="Arial" w:hAnsi="Arial" w:cs="Arial"/>
          <w:color w:val="333333"/>
        </w:rPr>
        <w:t>中国人民银行根据履行职责的需要，可以对金融控股公司进行现场检查，询问工作人员，查阅、复制相关文件、资料，检查电子数据系统等。</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为促进金融控股公司稳健经营，中国人民银行可以建议国务院银行保险监督管理机构、国务院证券监督管理机构、国家外汇管理部门对金融控股公司所控股金融机构进行现场检查，必要时经国务院批准，可以会同国务院银行保险监督管理机构、国务院证券监督管理机构、国家外汇管理部门对所控股金融机构进行现场检查。国务院银行保险监督管理机构、国务院证券监督管理机构、国家外汇管理部门根据监管需要，可以建议中国人民银行对金融控股公司进行现场检查。</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第四十四条</w:t>
      </w:r>
      <w:r>
        <w:rPr>
          <w:rStyle w:val="bjh-p"/>
          <w:rFonts w:ascii="Arial" w:hAnsi="Arial" w:cs="Arial"/>
          <w:color w:val="333333"/>
        </w:rPr>
        <w:t>中国人民银行根据履行职责的需要，可以与金融控股公司董事、监事、高级管理人员进行监督管理谈话，要求金融控股公司董事、监事、高级管理人员就金融控股公司业务活动和风险管理的重大事项作出说明。</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第四十五条</w:t>
      </w:r>
      <w:r>
        <w:rPr>
          <w:rStyle w:val="bjh-p"/>
          <w:rFonts w:ascii="Arial" w:hAnsi="Arial" w:cs="Arial"/>
          <w:color w:val="333333"/>
        </w:rPr>
        <w:t> </w:t>
      </w:r>
      <w:r>
        <w:rPr>
          <w:rStyle w:val="bjh-p"/>
          <w:rFonts w:ascii="Arial" w:hAnsi="Arial" w:cs="Arial"/>
          <w:color w:val="333333"/>
        </w:rPr>
        <w:t>中国人民银行会同相关部门建立和完善金融控股集团的风险评估体系，综合运用宏观审慎政策、金融机构评级、反洗钱、反恐怖融资监测等政策工具，评估金融控股集团的经营管理与风险状况。中国人民银行可以根据风险评估结果动态调整对金融控股公司的监管要求，区别情形采取风险警示、早期纠正、风险处置措施。</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第四十六条</w:t>
      </w:r>
      <w:r>
        <w:rPr>
          <w:rStyle w:val="bjh-p"/>
          <w:rFonts w:ascii="Arial" w:hAnsi="Arial" w:cs="Arial"/>
          <w:color w:val="333333"/>
        </w:rPr>
        <w:t> </w:t>
      </w:r>
      <w:r>
        <w:rPr>
          <w:rStyle w:val="bjh-p"/>
          <w:rFonts w:ascii="Arial" w:hAnsi="Arial" w:cs="Arial"/>
          <w:color w:val="333333"/>
        </w:rPr>
        <w:t>金融控股公司所控股金融机构违反审慎经营规则，财务状况显著恶化，严重危及自身稳健运行、损害客户合法权益，金融控股公司有义务帮助其所控股金融机构恢复正常营运。金融控股公司未主动履行上述义务的，中国人民银行有权会同国务院银行保险监督管理机构、国务院证券监督管理机构要求金融控股公司采取注资、转让股权等适当措施进行自救。金融控股公司在开展救助时，应当做好风险隔离，防范风险传染和蔓延。</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第四十七条</w:t>
      </w:r>
      <w:r>
        <w:rPr>
          <w:rStyle w:val="bjh-p"/>
          <w:rFonts w:ascii="Arial" w:hAnsi="Arial" w:cs="Arial"/>
          <w:color w:val="333333"/>
        </w:rPr>
        <w:t> </w:t>
      </w:r>
      <w:r>
        <w:rPr>
          <w:rStyle w:val="bjh-p"/>
          <w:rFonts w:ascii="Arial" w:hAnsi="Arial" w:cs="Arial"/>
          <w:color w:val="333333"/>
        </w:rPr>
        <w:t>金融控股公司应当事前对风险处置作出合格的计划并报告中国人民银行。</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违反本办法及相关规定，或自身经营不善，对所控股金融机构、金融控股集团造成重大风险，中国人民银行可以要求其限期整改。所造成的风险状况可能影响金融稳定、严重扰乱金融秩序、损害公众利益的，中国人民银行可以要求金融控股公司采取下列措施：</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（一）限制经营活动。</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（二）限制向股东分红，限制董事、监事、高级管理人员的薪酬和其他收入。</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（三）限期补充资本。</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（四）调整负有责任的董事、监事、高级管理人员或限制其权利。</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（五）转让所控股金融机构的股权。</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金融控股公司有本条第二款规定情形的，中国人民银行可以要求其股东转让股权或限制股东权利；必要时，中国人民银行可以提请国务院反垄断部门启动反垄断调查，依法作出处理决定。</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lastRenderedPageBreak/>
        <w:t>第四十八条</w:t>
      </w:r>
      <w:r>
        <w:rPr>
          <w:rStyle w:val="bjh-p"/>
          <w:rFonts w:ascii="Arial" w:hAnsi="Arial" w:cs="Arial"/>
          <w:color w:val="333333"/>
        </w:rPr>
        <w:t> </w:t>
      </w:r>
      <w:r>
        <w:rPr>
          <w:rStyle w:val="bjh-p"/>
          <w:rFonts w:ascii="Arial" w:hAnsi="Arial" w:cs="Arial"/>
          <w:color w:val="333333"/>
        </w:rPr>
        <w:t>金融控股公司难以持续经营，若不市场退出将严重危害金融秩序、损害公众利益的，应当依法实施市场退出。</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第四十九条</w:t>
      </w:r>
      <w:r>
        <w:rPr>
          <w:rStyle w:val="bjh-p"/>
          <w:rFonts w:ascii="Arial" w:hAnsi="Arial" w:cs="Arial"/>
          <w:color w:val="333333"/>
        </w:rPr>
        <w:t> </w:t>
      </w:r>
      <w:r>
        <w:rPr>
          <w:rStyle w:val="bjh-p"/>
          <w:rFonts w:ascii="Arial" w:hAnsi="Arial" w:cs="Arial"/>
          <w:color w:val="333333"/>
        </w:rPr>
        <w:t>为维护金融稳定，中国人民银行有权要求金融控股公司制定金融控股集团整体恢复和处置计划，并报中国人民银行备案。</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第五十条</w:t>
      </w:r>
      <w:r>
        <w:rPr>
          <w:rStyle w:val="bjh-p"/>
          <w:rFonts w:ascii="Arial" w:hAnsi="Arial" w:cs="Arial"/>
          <w:color w:val="333333"/>
        </w:rPr>
        <w:t> </w:t>
      </w:r>
      <w:r>
        <w:rPr>
          <w:rStyle w:val="bjh-p"/>
          <w:rFonts w:ascii="Arial" w:hAnsi="Arial" w:cs="Arial"/>
          <w:color w:val="333333"/>
        </w:rPr>
        <w:t>按照本办法第六条规定应当设立金融控股公司，但未获得金融控股公司许可的，由中国人民银行会同国务院银行保险监督管理机构、国务院证券监督管理机构责令改正，逾期不改正的，中国人民银行可以会同国务院银行保险监督管理机构、国务院证券监督管理机构对其采取以下措施：</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（一）要求其部分转让对金融机构的股权至丧失实质控制权。</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（二）要求其全部转让对金融机构的股权。</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（三）其他纠正措施。</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经批准设立的金融控股公司在存续期内，不再符合金融控股公司设立条件的，中国人民银行可以对金融控股公司采取本条前款规定的纠正措施。</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第六章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法律责任</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第五十一条</w:t>
      </w:r>
      <w:r>
        <w:rPr>
          <w:rStyle w:val="bjh-p"/>
          <w:rFonts w:ascii="Arial" w:hAnsi="Arial" w:cs="Arial"/>
          <w:color w:val="333333"/>
        </w:rPr>
        <w:t> </w:t>
      </w:r>
      <w:r>
        <w:rPr>
          <w:rStyle w:val="bjh-p"/>
          <w:rFonts w:ascii="Arial" w:hAnsi="Arial" w:cs="Arial"/>
          <w:color w:val="333333"/>
        </w:rPr>
        <w:t>金融控股公司的发起人、控股股东、实际控制人违反本办法规定，有下列行为之一的，由中国人民银行责令限期改正，没收违法所得，并处违法所得</w:t>
      </w:r>
      <w:r>
        <w:rPr>
          <w:rStyle w:val="bjh-p"/>
          <w:rFonts w:ascii="Arial" w:hAnsi="Arial" w:cs="Arial"/>
          <w:color w:val="333333"/>
        </w:rPr>
        <w:t>1</w:t>
      </w:r>
      <w:r>
        <w:rPr>
          <w:rStyle w:val="bjh-p"/>
          <w:rFonts w:ascii="Arial" w:hAnsi="Arial" w:cs="Arial"/>
          <w:color w:val="333333"/>
        </w:rPr>
        <w:t>倍以上</w:t>
      </w:r>
      <w:r>
        <w:rPr>
          <w:rStyle w:val="bjh-p"/>
          <w:rFonts w:ascii="Arial" w:hAnsi="Arial" w:cs="Arial"/>
          <w:color w:val="333333"/>
        </w:rPr>
        <w:t>5</w:t>
      </w:r>
      <w:r>
        <w:rPr>
          <w:rStyle w:val="bjh-p"/>
          <w:rFonts w:ascii="Arial" w:hAnsi="Arial" w:cs="Arial"/>
          <w:color w:val="333333"/>
        </w:rPr>
        <w:t>倍以下罚款。没有违法所得或违法所得不足</w:t>
      </w:r>
      <w:r>
        <w:rPr>
          <w:rStyle w:val="bjh-p"/>
          <w:rFonts w:ascii="Arial" w:hAnsi="Arial" w:cs="Arial"/>
          <w:color w:val="333333"/>
        </w:rPr>
        <w:t>50</w:t>
      </w:r>
      <w:r>
        <w:rPr>
          <w:rStyle w:val="bjh-p"/>
          <w:rFonts w:ascii="Arial" w:hAnsi="Arial" w:cs="Arial"/>
          <w:color w:val="333333"/>
        </w:rPr>
        <w:t>万元的，处</w:t>
      </w:r>
      <w:r>
        <w:rPr>
          <w:rStyle w:val="bjh-p"/>
          <w:rFonts w:ascii="Arial" w:hAnsi="Arial" w:cs="Arial"/>
          <w:color w:val="333333"/>
        </w:rPr>
        <w:t>50</w:t>
      </w:r>
      <w:r>
        <w:rPr>
          <w:rStyle w:val="bjh-p"/>
          <w:rFonts w:ascii="Arial" w:hAnsi="Arial" w:cs="Arial"/>
          <w:color w:val="333333"/>
        </w:rPr>
        <w:t>万元以上</w:t>
      </w:r>
      <w:r>
        <w:rPr>
          <w:rStyle w:val="bjh-p"/>
          <w:rFonts w:ascii="Arial" w:hAnsi="Arial" w:cs="Arial"/>
          <w:color w:val="333333"/>
        </w:rPr>
        <w:t>500</w:t>
      </w:r>
      <w:r>
        <w:rPr>
          <w:rStyle w:val="bjh-p"/>
          <w:rFonts w:ascii="Arial" w:hAnsi="Arial" w:cs="Arial"/>
          <w:color w:val="333333"/>
        </w:rPr>
        <w:t>万元以下罚款。情节严重的，依据《中华人民共和国行政许可法》的规定，撤销行政许可；涉嫌构成犯罪的，移送有关机关依法追究刑事责任：</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（一）提供虚假的承诺函。</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（二）虚假出资、循环注资，利用委托资金、债务资金等非自有资金出资。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（三）通过委托他人或接受他人委托等方式违规持有金融控股公司股权。</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（四）提供虚假的或隐瞒重要事实的资料。</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（五）违反本办法规定的其他情形。</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第五十二条</w:t>
      </w:r>
      <w:r>
        <w:rPr>
          <w:rStyle w:val="bjh-p"/>
          <w:rFonts w:ascii="Arial" w:hAnsi="Arial" w:cs="Arial"/>
          <w:color w:val="333333"/>
        </w:rPr>
        <w:t> </w:t>
      </w:r>
      <w:r>
        <w:rPr>
          <w:rStyle w:val="bjh-p"/>
          <w:rFonts w:ascii="Arial" w:hAnsi="Arial" w:cs="Arial"/>
          <w:color w:val="333333"/>
        </w:rPr>
        <w:t>金融控股公司违反本办法规定，有下列行为之一的，由中国人民银行责令限期改正，没收违法所得，对单位处违法所得</w:t>
      </w:r>
      <w:r>
        <w:rPr>
          <w:rStyle w:val="bjh-p"/>
          <w:rFonts w:ascii="Arial" w:hAnsi="Arial" w:cs="Arial"/>
          <w:color w:val="333333"/>
        </w:rPr>
        <w:t>1</w:t>
      </w:r>
      <w:r>
        <w:rPr>
          <w:rStyle w:val="bjh-p"/>
          <w:rFonts w:ascii="Arial" w:hAnsi="Arial" w:cs="Arial"/>
          <w:color w:val="333333"/>
        </w:rPr>
        <w:t>倍以上</w:t>
      </w:r>
      <w:r>
        <w:rPr>
          <w:rStyle w:val="bjh-p"/>
          <w:rFonts w:ascii="Arial" w:hAnsi="Arial" w:cs="Arial"/>
          <w:color w:val="333333"/>
        </w:rPr>
        <w:t>10</w:t>
      </w:r>
      <w:r>
        <w:rPr>
          <w:rStyle w:val="bjh-p"/>
          <w:rFonts w:ascii="Arial" w:hAnsi="Arial" w:cs="Arial"/>
          <w:color w:val="333333"/>
        </w:rPr>
        <w:t>倍以下罚款，没有违法所得或违法所得不足</w:t>
      </w:r>
      <w:r>
        <w:rPr>
          <w:rStyle w:val="bjh-p"/>
          <w:rFonts w:ascii="Arial" w:hAnsi="Arial" w:cs="Arial"/>
          <w:color w:val="333333"/>
        </w:rPr>
        <w:t>100</w:t>
      </w:r>
      <w:r>
        <w:rPr>
          <w:rStyle w:val="bjh-p"/>
          <w:rFonts w:ascii="Arial" w:hAnsi="Arial" w:cs="Arial"/>
          <w:color w:val="333333"/>
        </w:rPr>
        <w:t>万元的，处</w:t>
      </w:r>
      <w:r>
        <w:rPr>
          <w:rStyle w:val="bjh-p"/>
          <w:rFonts w:ascii="Arial" w:hAnsi="Arial" w:cs="Arial"/>
          <w:color w:val="333333"/>
        </w:rPr>
        <w:t>100</w:t>
      </w:r>
      <w:r>
        <w:rPr>
          <w:rStyle w:val="bjh-p"/>
          <w:rFonts w:ascii="Arial" w:hAnsi="Arial" w:cs="Arial"/>
          <w:color w:val="333333"/>
        </w:rPr>
        <w:t>万元以上</w:t>
      </w:r>
      <w:r>
        <w:rPr>
          <w:rStyle w:val="bjh-p"/>
          <w:rFonts w:ascii="Arial" w:hAnsi="Arial" w:cs="Arial"/>
          <w:color w:val="333333"/>
        </w:rPr>
        <w:t>1000</w:t>
      </w:r>
      <w:r>
        <w:rPr>
          <w:rStyle w:val="bjh-p"/>
          <w:rFonts w:ascii="Arial" w:hAnsi="Arial" w:cs="Arial"/>
          <w:color w:val="333333"/>
        </w:rPr>
        <w:t>万元以下罚款；对直接负责的董事、高级管理人员和其他直接责任人员，处违法所得</w:t>
      </w:r>
      <w:r>
        <w:rPr>
          <w:rStyle w:val="bjh-p"/>
          <w:rFonts w:ascii="Arial" w:hAnsi="Arial" w:cs="Arial"/>
          <w:color w:val="333333"/>
        </w:rPr>
        <w:t>1</w:t>
      </w:r>
      <w:r>
        <w:rPr>
          <w:rStyle w:val="bjh-p"/>
          <w:rFonts w:ascii="Arial" w:hAnsi="Arial" w:cs="Arial"/>
          <w:color w:val="333333"/>
        </w:rPr>
        <w:t>倍以上</w:t>
      </w:r>
      <w:r>
        <w:rPr>
          <w:rStyle w:val="bjh-p"/>
          <w:rFonts w:ascii="Arial" w:hAnsi="Arial" w:cs="Arial"/>
          <w:color w:val="333333"/>
        </w:rPr>
        <w:t>10</w:t>
      </w:r>
      <w:r>
        <w:rPr>
          <w:rStyle w:val="bjh-p"/>
          <w:rFonts w:ascii="Arial" w:hAnsi="Arial" w:cs="Arial"/>
          <w:color w:val="333333"/>
        </w:rPr>
        <w:t>倍以下罚款，没有违法所得或违法所得不足</w:t>
      </w:r>
      <w:r>
        <w:rPr>
          <w:rStyle w:val="bjh-p"/>
          <w:rFonts w:ascii="Arial" w:hAnsi="Arial" w:cs="Arial"/>
          <w:color w:val="333333"/>
        </w:rPr>
        <w:t>10</w:t>
      </w:r>
      <w:r>
        <w:rPr>
          <w:rStyle w:val="bjh-p"/>
          <w:rFonts w:ascii="Arial" w:hAnsi="Arial" w:cs="Arial"/>
          <w:color w:val="333333"/>
        </w:rPr>
        <w:t>万元的，处</w:t>
      </w:r>
      <w:r>
        <w:rPr>
          <w:rStyle w:val="bjh-p"/>
          <w:rFonts w:ascii="Arial" w:hAnsi="Arial" w:cs="Arial"/>
          <w:color w:val="333333"/>
        </w:rPr>
        <w:t>10</w:t>
      </w:r>
      <w:r>
        <w:rPr>
          <w:rStyle w:val="bjh-p"/>
          <w:rFonts w:ascii="Arial" w:hAnsi="Arial" w:cs="Arial"/>
          <w:color w:val="333333"/>
        </w:rPr>
        <w:t>万元以上</w:t>
      </w:r>
      <w:r>
        <w:rPr>
          <w:rStyle w:val="bjh-p"/>
          <w:rFonts w:ascii="Arial" w:hAnsi="Arial" w:cs="Arial"/>
          <w:color w:val="333333"/>
        </w:rPr>
        <w:t>100</w:t>
      </w:r>
      <w:r>
        <w:rPr>
          <w:rStyle w:val="bjh-p"/>
          <w:rFonts w:ascii="Arial" w:hAnsi="Arial" w:cs="Arial"/>
          <w:color w:val="333333"/>
        </w:rPr>
        <w:t>万元以下罚款；涉嫌构成犯罪的，移送有关机关依法追究刑事责任：</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（一）对金融机构虚假出资、循环注资，利用委托资金、债务资金等非自有资金出资。</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（二）违规开展关联交易。</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（三）干预所控股金融机构经营造成重大风险或重大风险隐患。</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（四）提供虚假的或隐瞒重要事实的财务会计报告、报表、统计报表及经营资料。</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（五）拒绝或阻碍中国人民银行现场检查。</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（六）违反本办法的其他情形。</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第七章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附则</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第五十三条</w:t>
      </w:r>
      <w:r>
        <w:rPr>
          <w:rStyle w:val="bjh-p"/>
          <w:rFonts w:ascii="Arial" w:hAnsi="Arial" w:cs="Arial"/>
          <w:color w:val="333333"/>
        </w:rPr>
        <w:t> </w:t>
      </w:r>
      <w:r>
        <w:rPr>
          <w:rStyle w:val="bjh-p"/>
          <w:rFonts w:ascii="Arial" w:hAnsi="Arial" w:cs="Arial"/>
          <w:color w:val="333333"/>
        </w:rPr>
        <w:t>本办法所称金融控股公司主要股东是指持有或控制金融控股公司股份总额</w:t>
      </w:r>
      <w:r>
        <w:rPr>
          <w:rStyle w:val="bjh-p"/>
          <w:rFonts w:ascii="Arial" w:hAnsi="Arial" w:cs="Arial"/>
          <w:color w:val="333333"/>
        </w:rPr>
        <w:t>5</w:t>
      </w:r>
      <w:r>
        <w:rPr>
          <w:rStyle w:val="bjh-p"/>
          <w:rFonts w:ascii="Arial" w:hAnsi="Arial" w:cs="Arial"/>
          <w:color w:val="333333"/>
        </w:rPr>
        <w:t>％以上股份或表决权，或持有股份总额不足</w:t>
      </w:r>
      <w:r>
        <w:rPr>
          <w:rStyle w:val="bjh-p"/>
          <w:rFonts w:ascii="Arial" w:hAnsi="Arial" w:cs="Arial"/>
          <w:color w:val="333333"/>
        </w:rPr>
        <w:t>5</w:t>
      </w:r>
      <w:r>
        <w:rPr>
          <w:rStyle w:val="bjh-p"/>
          <w:rFonts w:ascii="Arial" w:hAnsi="Arial" w:cs="Arial"/>
          <w:color w:val="333333"/>
        </w:rPr>
        <w:t>％但对金融控股公司经营管理有重大影响的股东。</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本办法所称金融控股公司控股股东是指其出资额占金融控股公司资本总额</w:t>
      </w:r>
      <w:r>
        <w:rPr>
          <w:rStyle w:val="bjh-p"/>
          <w:rFonts w:ascii="Arial" w:hAnsi="Arial" w:cs="Arial"/>
          <w:color w:val="333333"/>
        </w:rPr>
        <w:t>50</w:t>
      </w:r>
      <w:r>
        <w:rPr>
          <w:rStyle w:val="bjh-p"/>
          <w:rFonts w:ascii="Arial" w:hAnsi="Arial" w:cs="Arial"/>
          <w:color w:val="333333"/>
        </w:rPr>
        <w:t>％以上或其持有的股份占金融控股公司股本总额</w:t>
      </w:r>
      <w:r>
        <w:rPr>
          <w:rStyle w:val="bjh-p"/>
          <w:rFonts w:ascii="Arial" w:hAnsi="Arial" w:cs="Arial"/>
          <w:color w:val="333333"/>
        </w:rPr>
        <w:t>50</w:t>
      </w:r>
      <w:r>
        <w:rPr>
          <w:rStyle w:val="bjh-p"/>
          <w:rFonts w:ascii="Arial" w:hAnsi="Arial" w:cs="Arial"/>
          <w:color w:val="333333"/>
        </w:rPr>
        <w:t>％以上的股东；出资额或持有股份的比例虽不足</w:t>
      </w:r>
      <w:r>
        <w:rPr>
          <w:rStyle w:val="bjh-p"/>
          <w:rFonts w:ascii="Arial" w:hAnsi="Arial" w:cs="Arial"/>
          <w:color w:val="333333"/>
        </w:rPr>
        <w:t>50</w:t>
      </w:r>
      <w:r>
        <w:rPr>
          <w:rStyle w:val="bjh-p"/>
          <w:rFonts w:ascii="Arial" w:hAnsi="Arial" w:cs="Arial"/>
          <w:color w:val="333333"/>
        </w:rPr>
        <w:t>％，但依其出资额或持有的股份所享有的表决权已足以对股东会、股东大会的决议产生重大影响或能够实际支配公司行为的股东。</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本办法所称实际控制人是指通过投资关系、协议或其他安排，能够实际支配公司行为的人。</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第五十四条</w:t>
      </w:r>
      <w:r>
        <w:rPr>
          <w:rStyle w:val="bjh-p"/>
          <w:rFonts w:ascii="Arial" w:hAnsi="Arial" w:cs="Arial"/>
          <w:color w:val="333333"/>
        </w:rPr>
        <w:t> </w:t>
      </w:r>
      <w:r>
        <w:rPr>
          <w:rStyle w:val="bjh-p"/>
          <w:rFonts w:ascii="Arial" w:hAnsi="Arial" w:cs="Arial"/>
          <w:color w:val="333333"/>
        </w:rPr>
        <w:t>本办法实施前已经存在的、具备金融控股公司设立情形的机构，如果未达到本办法规定的监管要求，经国务院金融管理部门同意，可以在一定期限内进行整改，并由国务院金融管理部门进行验收。</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第五十五条</w:t>
      </w:r>
      <w:r>
        <w:rPr>
          <w:rStyle w:val="bjh-p"/>
          <w:rFonts w:ascii="Arial" w:hAnsi="Arial" w:cs="Arial"/>
          <w:color w:val="333333"/>
        </w:rPr>
        <w:t> </w:t>
      </w:r>
      <w:r>
        <w:rPr>
          <w:rStyle w:val="bjh-p"/>
          <w:rFonts w:ascii="Arial" w:hAnsi="Arial" w:cs="Arial"/>
          <w:color w:val="333333"/>
        </w:rPr>
        <w:t>本办法由中国人民银行负责解释。</w:t>
      </w:r>
    </w:p>
    <w:p w:rsidR="006126C9" w:rsidRDefault="006126C9" w:rsidP="006126C9">
      <w:pPr>
        <w:pStyle w:val="a5"/>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第五十六条</w:t>
      </w:r>
      <w:r>
        <w:rPr>
          <w:rStyle w:val="bjh-p"/>
          <w:rFonts w:ascii="Arial" w:hAnsi="Arial" w:cs="Arial"/>
          <w:color w:val="333333"/>
        </w:rPr>
        <w:t> </w:t>
      </w:r>
      <w:r>
        <w:rPr>
          <w:rStyle w:val="bjh-p"/>
          <w:rFonts w:ascii="Arial" w:hAnsi="Arial" w:cs="Arial"/>
          <w:color w:val="333333"/>
        </w:rPr>
        <w:t>本办法自</w:t>
      </w:r>
      <w:r>
        <w:rPr>
          <w:rStyle w:val="bjh-p"/>
          <w:rFonts w:ascii="Arial" w:hAnsi="Arial" w:cs="Arial"/>
          <w:color w:val="333333"/>
        </w:rPr>
        <w:t>2020</w:t>
      </w:r>
      <w:r>
        <w:rPr>
          <w:rStyle w:val="bjh-p"/>
          <w:rFonts w:ascii="Arial" w:hAnsi="Arial" w:cs="Arial"/>
          <w:color w:val="333333"/>
        </w:rPr>
        <w:t>年</w:t>
      </w:r>
      <w:r>
        <w:rPr>
          <w:rStyle w:val="bjh-p"/>
          <w:rFonts w:ascii="Arial" w:hAnsi="Arial" w:cs="Arial"/>
          <w:color w:val="333333"/>
        </w:rPr>
        <w:t>11</w:t>
      </w:r>
      <w:r>
        <w:rPr>
          <w:rStyle w:val="bjh-p"/>
          <w:rFonts w:ascii="Arial" w:hAnsi="Arial" w:cs="Arial"/>
          <w:color w:val="333333"/>
        </w:rPr>
        <w:t>月</w:t>
      </w:r>
      <w:r>
        <w:rPr>
          <w:rStyle w:val="bjh-p"/>
          <w:rFonts w:ascii="Arial" w:hAnsi="Arial" w:cs="Arial"/>
          <w:color w:val="333333"/>
        </w:rPr>
        <w:t>1</w:t>
      </w:r>
      <w:r>
        <w:rPr>
          <w:rStyle w:val="bjh-p"/>
          <w:rFonts w:ascii="Arial" w:hAnsi="Arial" w:cs="Arial"/>
          <w:color w:val="333333"/>
        </w:rPr>
        <w:t>日起施行。</w:t>
      </w:r>
    </w:p>
    <w:p w:rsidR="007853E3" w:rsidRPr="006126C9" w:rsidRDefault="007A7013"/>
    <w:sectPr w:rsidR="007853E3" w:rsidRPr="006126C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13" w:rsidRDefault="007A7013" w:rsidP="006126C9">
      <w:r>
        <w:separator/>
      </w:r>
    </w:p>
  </w:endnote>
  <w:endnote w:type="continuationSeparator" w:id="0">
    <w:p w:rsidR="007A7013" w:rsidRDefault="007A7013" w:rsidP="0061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889743"/>
      <w:docPartObj>
        <w:docPartGallery w:val="Page Numbers (Bottom of Page)"/>
        <w:docPartUnique/>
      </w:docPartObj>
    </w:sdtPr>
    <w:sdtEndPr/>
    <w:sdtContent>
      <w:p w:rsidR="002B741A" w:rsidRDefault="002B741A">
        <w:pPr>
          <w:pStyle w:val="a4"/>
          <w:jc w:val="center"/>
        </w:pPr>
        <w:r>
          <w:fldChar w:fldCharType="begin"/>
        </w:r>
        <w:r>
          <w:instrText>PAGE   \* MERGEFORMAT</w:instrText>
        </w:r>
        <w:r>
          <w:fldChar w:fldCharType="separate"/>
        </w:r>
        <w:r w:rsidR="00266D5E" w:rsidRPr="00266D5E">
          <w:rPr>
            <w:noProof/>
            <w:lang w:val="zh-CN"/>
          </w:rPr>
          <w:t>14</w:t>
        </w:r>
        <w:r>
          <w:fldChar w:fldCharType="end"/>
        </w:r>
      </w:p>
    </w:sdtContent>
  </w:sdt>
  <w:p w:rsidR="002B741A" w:rsidRDefault="002B74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13" w:rsidRDefault="007A7013" w:rsidP="006126C9">
      <w:r>
        <w:separator/>
      </w:r>
    </w:p>
  </w:footnote>
  <w:footnote w:type="continuationSeparator" w:id="0">
    <w:p w:rsidR="007A7013" w:rsidRDefault="007A7013" w:rsidP="00612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B2"/>
    <w:rsid w:val="00000BC7"/>
    <w:rsid w:val="00266D5E"/>
    <w:rsid w:val="002B741A"/>
    <w:rsid w:val="003107C2"/>
    <w:rsid w:val="00340F50"/>
    <w:rsid w:val="004A37A2"/>
    <w:rsid w:val="00512665"/>
    <w:rsid w:val="005373F5"/>
    <w:rsid w:val="00581852"/>
    <w:rsid w:val="006126C9"/>
    <w:rsid w:val="007A7013"/>
    <w:rsid w:val="00B00C9A"/>
    <w:rsid w:val="00B6503E"/>
    <w:rsid w:val="00BA45AC"/>
    <w:rsid w:val="00C16AD0"/>
    <w:rsid w:val="00F24221"/>
    <w:rsid w:val="00F9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CBA9E9-A51E-4D20-AC73-D154B17F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26C9"/>
    <w:rPr>
      <w:sz w:val="18"/>
      <w:szCs w:val="18"/>
    </w:rPr>
  </w:style>
  <w:style w:type="paragraph" w:styleId="a4">
    <w:name w:val="footer"/>
    <w:basedOn w:val="a"/>
    <w:link w:val="Char0"/>
    <w:uiPriority w:val="99"/>
    <w:unhideWhenUsed/>
    <w:rsid w:val="006126C9"/>
    <w:pPr>
      <w:tabs>
        <w:tab w:val="center" w:pos="4153"/>
        <w:tab w:val="right" w:pos="8306"/>
      </w:tabs>
      <w:snapToGrid w:val="0"/>
      <w:jc w:val="left"/>
    </w:pPr>
    <w:rPr>
      <w:sz w:val="18"/>
      <w:szCs w:val="18"/>
    </w:rPr>
  </w:style>
  <w:style w:type="character" w:customStyle="1" w:styleId="Char0">
    <w:name w:val="页脚 Char"/>
    <w:basedOn w:val="a0"/>
    <w:link w:val="a4"/>
    <w:uiPriority w:val="99"/>
    <w:rsid w:val="006126C9"/>
    <w:rPr>
      <w:sz w:val="18"/>
      <w:szCs w:val="18"/>
    </w:rPr>
  </w:style>
  <w:style w:type="paragraph" w:styleId="a5">
    <w:name w:val="Normal (Web)"/>
    <w:basedOn w:val="a"/>
    <w:uiPriority w:val="99"/>
    <w:semiHidden/>
    <w:unhideWhenUsed/>
    <w:rsid w:val="006126C9"/>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6126C9"/>
  </w:style>
  <w:style w:type="character" w:customStyle="1" w:styleId="bjh-strong">
    <w:name w:val="bjh-strong"/>
    <w:basedOn w:val="a0"/>
    <w:rsid w:val="0061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8697">
      <w:bodyDiv w:val="1"/>
      <w:marLeft w:val="0"/>
      <w:marRight w:val="0"/>
      <w:marTop w:val="0"/>
      <w:marBottom w:val="0"/>
      <w:divBdr>
        <w:top w:val="none" w:sz="0" w:space="0" w:color="auto"/>
        <w:left w:val="none" w:sz="0" w:space="0" w:color="auto"/>
        <w:bottom w:val="none" w:sz="0" w:space="0" w:color="auto"/>
        <w:right w:val="none" w:sz="0" w:space="0" w:color="auto"/>
      </w:divBdr>
      <w:divsChild>
        <w:div w:id="1802843758">
          <w:marLeft w:val="0"/>
          <w:marRight w:val="0"/>
          <w:marTop w:val="330"/>
          <w:marBottom w:val="0"/>
          <w:divBdr>
            <w:top w:val="none" w:sz="0" w:space="0" w:color="auto"/>
            <w:left w:val="none" w:sz="0" w:space="0" w:color="auto"/>
            <w:bottom w:val="none" w:sz="0" w:space="0" w:color="auto"/>
            <w:right w:val="none" w:sz="0" w:space="0" w:color="auto"/>
          </w:divBdr>
        </w:div>
        <w:div w:id="1088431478">
          <w:marLeft w:val="0"/>
          <w:marRight w:val="0"/>
          <w:marTop w:val="330"/>
          <w:marBottom w:val="0"/>
          <w:divBdr>
            <w:top w:val="none" w:sz="0" w:space="0" w:color="auto"/>
            <w:left w:val="none" w:sz="0" w:space="0" w:color="auto"/>
            <w:bottom w:val="none" w:sz="0" w:space="0" w:color="auto"/>
            <w:right w:val="none" w:sz="0" w:space="0" w:color="auto"/>
          </w:divBdr>
        </w:div>
        <w:div w:id="794759402">
          <w:marLeft w:val="0"/>
          <w:marRight w:val="0"/>
          <w:marTop w:val="330"/>
          <w:marBottom w:val="0"/>
          <w:divBdr>
            <w:top w:val="none" w:sz="0" w:space="0" w:color="auto"/>
            <w:left w:val="none" w:sz="0" w:space="0" w:color="auto"/>
            <w:bottom w:val="none" w:sz="0" w:space="0" w:color="auto"/>
            <w:right w:val="none" w:sz="0" w:space="0" w:color="auto"/>
          </w:divBdr>
        </w:div>
        <w:div w:id="1553345290">
          <w:marLeft w:val="0"/>
          <w:marRight w:val="0"/>
          <w:marTop w:val="330"/>
          <w:marBottom w:val="0"/>
          <w:divBdr>
            <w:top w:val="none" w:sz="0" w:space="0" w:color="auto"/>
            <w:left w:val="none" w:sz="0" w:space="0" w:color="auto"/>
            <w:bottom w:val="none" w:sz="0" w:space="0" w:color="auto"/>
            <w:right w:val="none" w:sz="0" w:space="0" w:color="auto"/>
          </w:divBdr>
        </w:div>
        <w:div w:id="1025788191">
          <w:marLeft w:val="0"/>
          <w:marRight w:val="0"/>
          <w:marTop w:val="330"/>
          <w:marBottom w:val="0"/>
          <w:divBdr>
            <w:top w:val="none" w:sz="0" w:space="0" w:color="auto"/>
            <w:left w:val="none" w:sz="0" w:space="0" w:color="auto"/>
            <w:bottom w:val="none" w:sz="0" w:space="0" w:color="auto"/>
            <w:right w:val="none" w:sz="0" w:space="0" w:color="auto"/>
          </w:divBdr>
        </w:div>
        <w:div w:id="1431586547">
          <w:marLeft w:val="0"/>
          <w:marRight w:val="0"/>
          <w:marTop w:val="330"/>
          <w:marBottom w:val="0"/>
          <w:divBdr>
            <w:top w:val="none" w:sz="0" w:space="0" w:color="auto"/>
            <w:left w:val="none" w:sz="0" w:space="0" w:color="auto"/>
            <w:bottom w:val="none" w:sz="0" w:space="0" w:color="auto"/>
            <w:right w:val="none" w:sz="0" w:space="0" w:color="auto"/>
          </w:divBdr>
        </w:div>
        <w:div w:id="2047639532">
          <w:marLeft w:val="0"/>
          <w:marRight w:val="0"/>
          <w:marTop w:val="330"/>
          <w:marBottom w:val="0"/>
          <w:divBdr>
            <w:top w:val="none" w:sz="0" w:space="0" w:color="auto"/>
            <w:left w:val="none" w:sz="0" w:space="0" w:color="auto"/>
            <w:bottom w:val="none" w:sz="0" w:space="0" w:color="auto"/>
            <w:right w:val="none" w:sz="0" w:space="0" w:color="auto"/>
          </w:divBdr>
        </w:div>
        <w:div w:id="1095859297">
          <w:marLeft w:val="0"/>
          <w:marRight w:val="0"/>
          <w:marTop w:val="330"/>
          <w:marBottom w:val="0"/>
          <w:divBdr>
            <w:top w:val="none" w:sz="0" w:space="0" w:color="auto"/>
            <w:left w:val="none" w:sz="0" w:space="0" w:color="auto"/>
            <w:bottom w:val="none" w:sz="0" w:space="0" w:color="auto"/>
            <w:right w:val="none" w:sz="0" w:space="0" w:color="auto"/>
          </w:divBdr>
        </w:div>
        <w:div w:id="1305543122">
          <w:marLeft w:val="0"/>
          <w:marRight w:val="0"/>
          <w:marTop w:val="330"/>
          <w:marBottom w:val="0"/>
          <w:divBdr>
            <w:top w:val="none" w:sz="0" w:space="0" w:color="auto"/>
            <w:left w:val="none" w:sz="0" w:space="0" w:color="auto"/>
            <w:bottom w:val="none" w:sz="0" w:space="0" w:color="auto"/>
            <w:right w:val="none" w:sz="0" w:space="0" w:color="auto"/>
          </w:divBdr>
        </w:div>
        <w:div w:id="1683358352">
          <w:marLeft w:val="0"/>
          <w:marRight w:val="0"/>
          <w:marTop w:val="330"/>
          <w:marBottom w:val="0"/>
          <w:divBdr>
            <w:top w:val="none" w:sz="0" w:space="0" w:color="auto"/>
            <w:left w:val="none" w:sz="0" w:space="0" w:color="auto"/>
            <w:bottom w:val="none" w:sz="0" w:space="0" w:color="auto"/>
            <w:right w:val="none" w:sz="0" w:space="0" w:color="auto"/>
          </w:divBdr>
        </w:div>
        <w:div w:id="1156187446">
          <w:marLeft w:val="0"/>
          <w:marRight w:val="0"/>
          <w:marTop w:val="330"/>
          <w:marBottom w:val="0"/>
          <w:divBdr>
            <w:top w:val="none" w:sz="0" w:space="0" w:color="auto"/>
            <w:left w:val="none" w:sz="0" w:space="0" w:color="auto"/>
            <w:bottom w:val="none" w:sz="0" w:space="0" w:color="auto"/>
            <w:right w:val="none" w:sz="0" w:space="0" w:color="auto"/>
          </w:divBdr>
        </w:div>
        <w:div w:id="1696468605">
          <w:marLeft w:val="0"/>
          <w:marRight w:val="0"/>
          <w:marTop w:val="330"/>
          <w:marBottom w:val="0"/>
          <w:divBdr>
            <w:top w:val="none" w:sz="0" w:space="0" w:color="auto"/>
            <w:left w:val="none" w:sz="0" w:space="0" w:color="auto"/>
            <w:bottom w:val="none" w:sz="0" w:space="0" w:color="auto"/>
            <w:right w:val="none" w:sz="0" w:space="0" w:color="auto"/>
          </w:divBdr>
        </w:div>
        <w:div w:id="1792943075">
          <w:marLeft w:val="0"/>
          <w:marRight w:val="0"/>
          <w:marTop w:val="330"/>
          <w:marBottom w:val="0"/>
          <w:divBdr>
            <w:top w:val="none" w:sz="0" w:space="0" w:color="auto"/>
            <w:left w:val="none" w:sz="0" w:space="0" w:color="auto"/>
            <w:bottom w:val="none" w:sz="0" w:space="0" w:color="auto"/>
            <w:right w:val="none" w:sz="0" w:space="0" w:color="auto"/>
          </w:divBdr>
        </w:div>
        <w:div w:id="1429623612">
          <w:marLeft w:val="0"/>
          <w:marRight w:val="0"/>
          <w:marTop w:val="330"/>
          <w:marBottom w:val="0"/>
          <w:divBdr>
            <w:top w:val="none" w:sz="0" w:space="0" w:color="auto"/>
            <w:left w:val="none" w:sz="0" w:space="0" w:color="auto"/>
            <w:bottom w:val="none" w:sz="0" w:space="0" w:color="auto"/>
            <w:right w:val="none" w:sz="0" w:space="0" w:color="auto"/>
          </w:divBdr>
        </w:div>
        <w:div w:id="1061753027">
          <w:marLeft w:val="0"/>
          <w:marRight w:val="0"/>
          <w:marTop w:val="330"/>
          <w:marBottom w:val="0"/>
          <w:divBdr>
            <w:top w:val="none" w:sz="0" w:space="0" w:color="auto"/>
            <w:left w:val="none" w:sz="0" w:space="0" w:color="auto"/>
            <w:bottom w:val="none" w:sz="0" w:space="0" w:color="auto"/>
            <w:right w:val="none" w:sz="0" w:space="0" w:color="auto"/>
          </w:divBdr>
        </w:div>
        <w:div w:id="677970336">
          <w:marLeft w:val="0"/>
          <w:marRight w:val="0"/>
          <w:marTop w:val="330"/>
          <w:marBottom w:val="0"/>
          <w:divBdr>
            <w:top w:val="none" w:sz="0" w:space="0" w:color="auto"/>
            <w:left w:val="none" w:sz="0" w:space="0" w:color="auto"/>
            <w:bottom w:val="none" w:sz="0" w:space="0" w:color="auto"/>
            <w:right w:val="none" w:sz="0" w:space="0" w:color="auto"/>
          </w:divBdr>
        </w:div>
        <w:div w:id="1489050203">
          <w:marLeft w:val="0"/>
          <w:marRight w:val="0"/>
          <w:marTop w:val="330"/>
          <w:marBottom w:val="0"/>
          <w:divBdr>
            <w:top w:val="none" w:sz="0" w:space="0" w:color="auto"/>
            <w:left w:val="none" w:sz="0" w:space="0" w:color="auto"/>
            <w:bottom w:val="none" w:sz="0" w:space="0" w:color="auto"/>
            <w:right w:val="none" w:sz="0" w:space="0" w:color="auto"/>
          </w:divBdr>
        </w:div>
        <w:div w:id="914558486">
          <w:marLeft w:val="0"/>
          <w:marRight w:val="0"/>
          <w:marTop w:val="330"/>
          <w:marBottom w:val="0"/>
          <w:divBdr>
            <w:top w:val="none" w:sz="0" w:space="0" w:color="auto"/>
            <w:left w:val="none" w:sz="0" w:space="0" w:color="auto"/>
            <w:bottom w:val="none" w:sz="0" w:space="0" w:color="auto"/>
            <w:right w:val="none" w:sz="0" w:space="0" w:color="auto"/>
          </w:divBdr>
        </w:div>
        <w:div w:id="2108698564">
          <w:marLeft w:val="0"/>
          <w:marRight w:val="0"/>
          <w:marTop w:val="330"/>
          <w:marBottom w:val="0"/>
          <w:divBdr>
            <w:top w:val="none" w:sz="0" w:space="0" w:color="auto"/>
            <w:left w:val="none" w:sz="0" w:space="0" w:color="auto"/>
            <w:bottom w:val="none" w:sz="0" w:space="0" w:color="auto"/>
            <w:right w:val="none" w:sz="0" w:space="0" w:color="auto"/>
          </w:divBdr>
        </w:div>
        <w:div w:id="86779472">
          <w:marLeft w:val="0"/>
          <w:marRight w:val="0"/>
          <w:marTop w:val="330"/>
          <w:marBottom w:val="0"/>
          <w:divBdr>
            <w:top w:val="none" w:sz="0" w:space="0" w:color="auto"/>
            <w:left w:val="none" w:sz="0" w:space="0" w:color="auto"/>
            <w:bottom w:val="none" w:sz="0" w:space="0" w:color="auto"/>
            <w:right w:val="none" w:sz="0" w:space="0" w:color="auto"/>
          </w:divBdr>
        </w:div>
        <w:div w:id="1812866142">
          <w:marLeft w:val="0"/>
          <w:marRight w:val="0"/>
          <w:marTop w:val="330"/>
          <w:marBottom w:val="0"/>
          <w:divBdr>
            <w:top w:val="none" w:sz="0" w:space="0" w:color="auto"/>
            <w:left w:val="none" w:sz="0" w:space="0" w:color="auto"/>
            <w:bottom w:val="none" w:sz="0" w:space="0" w:color="auto"/>
            <w:right w:val="none" w:sz="0" w:space="0" w:color="auto"/>
          </w:divBdr>
        </w:div>
        <w:div w:id="1015575152">
          <w:marLeft w:val="0"/>
          <w:marRight w:val="0"/>
          <w:marTop w:val="330"/>
          <w:marBottom w:val="0"/>
          <w:divBdr>
            <w:top w:val="none" w:sz="0" w:space="0" w:color="auto"/>
            <w:left w:val="none" w:sz="0" w:space="0" w:color="auto"/>
            <w:bottom w:val="none" w:sz="0" w:space="0" w:color="auto"/>
            <w:right w:val="none" w:sz="0" w:space="0" w:color="auto"/>
          </w:divBdr>
        </w:div>
        <w:div w:id="1437868016">
          <w:marLeft w:val="0"/>
          <w:marRight w:val="0"/>
          <w:marTop w:val="330"/>
          <w:marBottom w:val="0"/>
          <w:divBdr>
            <w:top w:val="none" w:sz="0" w:space="0" w:color="auto"/>
            <w:left w:val="none" w:sz="0" w:space="0" w:color="auto"/>
            <w:bottom w:val="none" w:sz="0" w:space="0" w:color="auto"/>
            <w:right w:val="none" w:sz="0" w:space="0" w:color="auto"/>
          </w:divBdr>
        </w:div>
        <w:div w:id="1202743127">
          <w:marLeft w:val="0"/>
          <w:marRight w:val="0"/>
          <w:marTop w:val="330"/>
          <w:marBottom w:val="0"/>
          <w:divBdr>
            <w:top w:val="none" w:sz="0" w:space="0" w:color="auto"/>
            <w:left w:val="none" w:sz="0" w:space="0" w:color="auto"/>
            <w:bottom w:val="none" w:sz="0" w:space="0" w:color="auto"/>
            <w:right w:val="none" w:sz="0" w:space="0" w:color="auto"/>
          </w:divBdr>
        </w:div>
        <w:div w:id="240217204">
          <w:marLeft w:val="0"/>
          <w:marRight w:val="0"/>
          <w:marTop w:val="330"/>
          <w:marBottom w:val="0"/>
          <w:divBdr>
            <w:top w:val="none" w:sz="0" w:space="0" w:color="auto"/>
            <w:left w:val="none" w:sz="0" w:space="0" w:color="auto"/>
            <w:bottom w:val="none" w:sz="0" w:space="0" w:color="auto"/>
            <w:right w:val="none" w:sz="0" w:space="0" w:color="auto"/>
          </w:divBdr>
        </w:div>
        <w:div w:id="1394162721">
          <w:marLeft w:val="0"/>
          <w:marRight w:val="0"/>
          <w:marTop w:val="330"/>
          <w:marBottom w:val="0"/>
          <w:divBdr>
            <w:top w:val="none" w:sz="0" w:space="0" w:color="auto"/>
            <w:left w:val="none" w:sz="0" w:space="0" w:color="auto"/>
            <w:bottom w:val="none" w:sz="0" w:space="0" w:color="auto"/>
            <w:right w:val="none" w:sz="0" w:space="0" w:color="auto"/>
          </w:divBdr>
        </w:div>
        <w:div w:id="1514800260">
          <w:marLeft w:val="0"/>
          <w:marRight w:val="0"/>
          <w:marTop w:val="330"/>
          <w:marBottom w:val="0"/>
          <w:divBdr>
            <w:top w:val="none" w:sz="0" w:space="0" w:color="auto"/>
            <w:left w:val="none" w:sz="0" w:space="0" w:color="auto"/>
            <w:bottom w:val="none" w:sz="0" w:space="0" w:color="auto"/>
            <w:right w:val="none" w:sz="0" w:space="0" w:color="auto"/>
          </w:divBdr>
        </w:div>
        <w:div w:id="1107964562">
          <w:marLeft w:val="0"/>
          <w:marRight w:val="0"/>
          <w:marTop w:val="330"/>
          <w:marBottom w:val="0"/>
          <w:divBdr>
            <w:top w:val="none" w:sz="0" w:space="0" w:color="auto"/>
            <w:left w:val="none" w:sz="0" w:space="0" w:color="auto"/>
            <w:bottom w:val="none" w:sz="0" w:space="0" w:color="auto"/>
            <w:right w:val="none" w:sz="0" w:space="0" w:color="auto"/>
          </w:divBdr>
        </w:div>
        <w:div w:id="677729745">
          <w:marLeft w:val="0"/>
          <w:marRight w:val="0"/>
          <w:marTop w:val="330"/>
          <w:marBottom w:val="0"/>
          <w:divBdr>
            <w:top w:val="none" w:sz="0" w:space="0" w:color="auto"/>
            <w:left w:val="none" w:sz="0" w:space="0" w:color="auto"/>
            <w:bottom w:val="none" w:sz="0" w:space="0" w:color="auto"/>
            <w:right w:val="none" w:sz="0" w:space="0" w:color="auto"/>
          </w:divBdr>
        </w:div>
        <w:div w:id="1100640356">
          <w:marLeft w:val="0"/>
          <w:marRight w:val="0"/>
          <w:marTop w:val="330"/>
          <w:marBottom w:val="0"/>
          <w:divBdr>
            <w:top w:val="none" w:sz="0" w:space="0" w:color="auto"/>
            <w:left w:val="none" w:sz="0" w:space="0" w:color="auto"/>
            <w:bottom w:val="none" w:sz="0" w:space="0" w:color="auto"/>
            <w:right w:val="none" w:sz="0" w:space="0" w:color="auto"/>
          </w:divBdr>
        </w:div>
        <w:div w:id="1714649303">
          <w:marLeft w:val="0"/>
          <w:marRight w:val="0"/>
          <w:marTop w:val="330"/>
          <w:marBottom w:val="0"/>
          <w:divBdr>
            <w:top w:val="none" w:sz="0" w:space="0" w:color="auto"/>
            <w:left w:val="none" w:sz="0" w:space="0" w:color="auto"/>
            <w:bottom w:val="none" w:sz="0" w:space="0" w:color="auto"/>
            <w:right w:val="none" w:sz="0" w:space="0" w:color="auto"/>
          </w:divBdr>
        </w:div>
        <w:div w:id="1919363517">
          <w:marLeft w:val="0"/>
          <w:marRight w:val="0"/>
          <w:marTop w:val="330"/>
          <w:marBottom w:val="0"/>
          <w:divBdr>
            <w:top w:val="none" w:sz="0" w:space="0" w:color="auto"/>
            <w:left w:val="none" w:sz="0" w:space="0" w:color="auto"/>
            <w:bottom w:val="none" w:sz="0" w:space="0" w:color="auto"/>
            <w:right w:val="none" w:sz="0" w:space="0" w:color="auto"/>
          </w:divBdr>
        </w:div>
        <w:div w:id="1143425175">
          <w:marLeft w:val="0"/>
          <w:marRight w:val="0"/>
          <w:marTop w:val="330"/>
          <w:marBottom w:val="0"/>
          <w:divBdr>
            <w:top w:val="none" w:sz="0" w:space="0" w:color="auto"/>
            <w:left w:val="none" w:sz="0" w:space="0" w:color="auto"/>
            <w:bottom w:val="none" w:sz="0" w:space="0" w:color="auto"/>
            <w:right w:val="none" w:sz="0" w:space="0" w:color="auto"/>
          </w:divBdr>
        </w:div>
        <w:div w:id="1930894437">
          <w:marLeft w:val="0"/>
          <w:marRight w:val="0"/>
          <w:marTop w:val="330"/>
          <w:marBottom w:val="0"/>
          <w:divBdr>
            <w:top w:val="none" w:sz="0" w:space="0" w:color="auto"/>
            <w:left w:val="none" w:sz="0" w:space="0" w:color="auto"/>
            <w:bottom w:val="none" w:sz="0" w:space="0" w:color="auto"/>
            <w:right w:val="none" w:sz="0" w:space="0" w:color="auto"/>
          </w:divBdr>
        </w:div>
        <w:div w:id="1568228902">
          <w:marLeft w:val="0"/>
          <w:marRight w:val="0"/>
          <w:marTop w:val="330"/>
          <w:marBottom w:val="0"/>
          <w:divBdr>
            <w:top w:val="none" w:sz="0" w:space="0" w:color="auto"/>
            <w:left w:val="none" w:sz="0" w:space="0" w:color="auto"/>
            <w:bottom w:val="none" w:sz="0" w:space="0" w:color="auto"/>
            <w:right w:val="none" w:sz="0" w:space="0" w:color="auto"/>
          </w:divBdr>
        </w:div>
        <w:div w:id="1037855818">
          <w:marLeft w:val="0"/>
          <w:marRight w:val="0"/>
          <w:marTop w:val="330"/>
          <w:marBottom w:val="0"/>
          <w:divBdr>
            <w:top w:val="none" w:sz="0" w:space="0" w:color="auto"/>
            <w:left w:val="none" w:sz="0" w:space="0" w:color="auto"/>
            <w:bottom w:val="none" w:sz="0" w:space="0" w:color="auto"/>
            <w:right w:val="none" w:sz="0" w:space="0" w:color="auto"/>
          </w:divBdr>
        </w:div>
        <w:div w:id="1779135984">
          <w:marLeft w:val="0"/>
          <w:marRight w:val="0"/>
          <w:marTop w:val="330"/>
          <w:marBottom w:val="0"/>
          <w:divBdr>
            <w:top w:val="none" w:sz="0" w:space="0" w:color="auto"/>
            <w:left w:val="none" w:sz="0" w:space="0" w:color="auto"/>
            <w:bottom w:val="none" w:sz="0" w:space="0" w:color="auto"/>
            <w:right w:val="none" w:sz="0" w:space="0" w:color="auto"/>
          </w:divBdr>
        </w:div>
        <w:div w:id="911502590">
          <w:marLeft w:val="0"/>
          <w:marRight w:val="0"/>
          <w:marTop w:val="330"/>
          <w:marBottom w:val="0"/>
          <w:divBdr>
            <w:top w:val="none" w:sz="0" w:space="0" w:color="auto"/>
            <w:left w:val="none" w:sz="0" w:space="0" w:color="auto"/>
            <w:bottom w:val="none" w:sz="0" w:space="0" w:color="auto"/>
            <w:right w:val="none" w:sz="0" w:space="0" w:color="auto"/>
          </w:divBdr>
        </w:div>
        <w:div w:id="1925607739">
          <w:marLeft w:val="0"/>
          <w:marRight w:val="0"/>
          <w:marTop w:val="330"/>
          <w:marBottom w:val="0"/>
          <w:divBdr>
            <w:top w:val="none" w:sz="0" w:space="0" w:color="auto"/>
            <w:left w:val="none" w:sz="0" w:space="0" w:color="auto"/>
            <w:bottom w:val="none" w:sz="0" w:space="0" w:color="auto"/>
            <w:right w:val="none" w:sz="0" w:space="0" w:color="auto"/>
          </w:divBdr>
        </w:div>
        <w:div w:id="2110155328">
          <w:marLeft w:val="0"/>
          <w:marRight w:val="0"/>
          <w:marTop w:val="330"/>
          <w:marBottom w:val="0"/>
          <w:divBdr>
            <w:top w:val="none" w:sz="0" w:space="0" w:color="auto"/>
            <w:left w:val="none" w:sz="0" w:space="0" w:color="auto"/>
            <w:bottom w:val="none" w:sz="0" w:space="0" w:color="auto"/>
            <w:right w:val="none" w:sz="0" w:space="0" w:color="auto"/>
          </w:divBdr>
        </w:div>
        <w:div w:id="1184709360">
          <w:marLeft w:val="0"/>
          <w:marRight w:val="0"/>
          <w:marTop w:val="330"/>
          <w:marBottom w:val="0"/>
          <w:divBdr>
            <w:top w:val="none" w:sz="0" w:space="0" w:color="auto"/>
            <w:left w:val="none" w:sz="0" w:space="0" w:color="auto"/>
            <w:bottom w:val="none" w:sz="0" w:space="0" w:color="auto"/>
            <w:right w:val="none" w:sz="0" w:space="0" w:color="auto"/>
          </w:divBdr>
        </w:div>
        <w:div w:id="427047588">
          <w:marLeft w:val="0"/>
          <w:marRight w:val="0"/>
          <w:marTop w:val="330"/>
          <w:marBottom w:val="0"/>
          <w:divBdr>
            <w:top w:val="none" w:sz="0" w:space="0" w:color="auto"/>
            <w:left w:val="none" w:sz="0" w:space="0" w:color="auto"/>
            <w:bottom w:val="none" w:sz="0" w:space="0" w:color="auto"/>
            <w:right w:val="none" w:sz="0" w:space="0" w:color="auto"/>
          </w:divBdr>
        </w:div>
        <w:div w:id="772896213">
          <w:marLeft w:val="0"/>
          <w:marRight w:val="0"/>
          <w:marTop w:val="330"/>
          <w:marBottom w:val="0"/>
          <w:divBdr>
            <w:top w:val="none" w:sz="0" w:space="0" w:color="auto"/>
            <w:left w:val="none" w:sz="0" w:space="0" w:color="auto"/>
            <w:bottom w:val="none" w:sz="0" w:space="0" w:color="auto"/>
            <w:right w:val="none" w:sz="0" w:space="0" w:color="auto"/>
          </w:divBdr>
        </w:div>
        <w:div w:id="404955830">
          <w:marLeft w:val="0"/>
          <w:marRight w:val="0"/>
          <w:marTop w:val="330"/>
          <w:marBottom w:val="0"/>
          <w:divBdr>
            <w:top w:val="none" w:sz="0" w:space="0" w:color="auto"/>
            <w:left w:val="none" w:sz="0" w:space="0" w:color="auto"/>
            <w:bottom w:val="none" w:sz="0" w:space="0" w:color="auto"/>
            <w:right w:val="none" w:sz="0" w:space="0" w:color="auto"/>
          </w:divBdr>
        </w:div>
        <w:div w:id="683046312">
          <w:marLeft w:val="0"/>
          <w:marRight w:val="0"/>
          <w:marTop w:val="330"/>
          <w:marBottom w:val="0"/>
          <w:divBdr>
            <w:top w:val="none" w:sz="0" w:space="0" w:color="auto"/>
            <w:left w:val="none" w:sz="0" w:space="0" w:color="auto"/>
            <w:bottom w:val="none" w:sz="0" w:space="0" w:color="auto"/>
            <w:right w:val="none" w:sz="0" w:space="0" w:color="auto"/>
          </w:divBdr>
        </w:div>
        <w:div w:id="1389454278">
          <w:marLeft w:val="0"/>
          <w:marRight w:val="0"/>
          <w:marTop w:val="330"/>
          <w:marBottom w:val="0"/>
          <w:divBdr>
            <w:top w:val="none" w:sz="0" w:space="0" w:color="auto"/>
            <w:left w:val="none" w:sz="0" w:space="0" w:color="auto"/>
            <w:bottom w:val="none" w:sz="0" w:space="0" w:color="auto"/>
            <w:right w:val="none" w:sz="0" w:space="0" w:color="auto"/>
          </w:divBdr>
        </w:div>
        <w:div w:id="1067268074">
          <w:marLeft w:val="0"/>
          <w:marRight w:val="0"/>
          <w:marTop w:val="330"/>
          <w:marBottom w:val="0"/>
          <w:divBdr>
            <w:top w:val="none" w:sz="0" w:space="0" w:color="auto"/>
            <w:left w:val="none" w:sz="0" w:space="0" w:color="auto"/>
            <w:bottom w:val="none" w:sz="0" w:space="0" w:color="auto"/>
            <w:right w:val="none" w:sz="0" w:space="0" w:color="auto"/>
          </w:divBdr>
        </w:div>
        <w:div w:id="645596983">
          <w:marLeft w:val="0"/>
          <w:marRight w:val="0"/>
          <w:marTop w:val="330"/>
          <w:marBottom w:val="0"/>
          <w:divBdr>
            <w:top w:val="none" w:sz="0" w:space="0" w:color="auto"/>
            <w:left w:val="none" w:sz="0" w:space="0" w:color="auto"/>
            <w:bottom w:val="none" w:sz="0" w:space="0" w:color="auto"/>
            <w:right w:val="none" w:sz="0" w:space="0" w:color="auto"/>
          </w:divBdr>
        </w:div>
        <w:div w:id="1548837762">
          <w:marLeft w:val="0"/>
          <w:marRight w:val="0"/>
          <w:marTop w:val="330"/>
          <w:marBottom w:val="0"/>
          <w:divBdr>
            <w:top w:val="none" w:sz="0" w:space="0" w:color="auto"/>
            <w:left w:val="none" w:sz="0" w:space="0" w:color="auto"/>
            <w:bottom w:val="none" w:sz="0" w:space="0" w:color="auto"/>
            <w:right w:val="none" w:sz="0" w:space="0" w:color="auto"/>
          </w:divBdr>
        </w:div>
        <w:div w:id="552697064">
          <w:marLeft w:val="0"/>
          <w:marRight w:val="0"/>
          <w:marTop w:val="330"/>
          <w:marBottom w:val="0"/>
          <w:divBdr>
            <w:top w:val="none" w:sz="0" w:space="0" w:color="auto"/>
            <w:left w:val="none" w:sz="0" w:space="0" w:color="auto"/>
            <w:bottom w:val="none" w:sz="0" w:space="0" w:color="auto"/>
            <w:right w:val="none" w:sz="0" w:space="0" w:color="auto"/>
          </w:divBdr>
        </w:div>
        <w:div w:id="99881072">
          <w:marLeft w:val="0"/>
          <w:marRight w:val="0"/>
          <w:marTop w:val="330"/>
          <w:marBottom w:val="0"/>
          <w:divBdr>
            <w:top w:val="none" w:sz="0" w:space="0" w:color="auto"/>
            <w:left w:val="none" w:sz="0" w:space="0" w:color="auto"/>
            <w:bottom w:val="none" w:sz="0" w:space="0" w:color="auto"/>
            <w:right w:val="none" w:sz="0" w:space="0" w:color="auto"/>
          </w:divBdr>
        </w:div>
        <w:div w:id="347996752">
          <w:marLeft w:val="0"/>
          <w:marRight w:val="0"/>
          <w:marTop w:val="330"/>
          <w:marBottom w:val="0"/>
          <w:divBdr>
            <w:top w:val="none" w:sz="0" w:space="0" w:color="auto"/>
            <w:left w:val="none" w:sz="0" w:space="0" w:color="auto"/>
            <w:bottom w:val="none" w:sz="0" w:space="0" w:color="auto"/>
            <w:right w:val="none" w:sz="0" w:space="0" w:color="auto"/>
          </w:divBdr>
        </w:div>
        <w:div w:id="805122874">
          <w:marLeft w:val="0"/>
          <w:marRight w:val="0"/>
          <w:marTop w:val="330"/>
          <w:marBottom w:val="0"/>
          <w:divBdr>
            <w:top w:val="none" w:sz="0" w:space="0" w:color="auto"/>
            <w:left w:val="none" w:sz="0" w:space="0" w:color="auto"/>
            <w:bottom w:val="none" w:sz="0" w:space="0" w:color="auto"/>
            <w:right w:val="none" w:sz="0" w:space="0" w:color="auto"/>
          </w:divBdr>
        </w:div>
        <w:div w:id="1430665498">
          <w:marLeft w:val="0"/>
          <w:marRight w:val="0"/>
          <w:marTop w:val="330"/>
          <w:marBottom w:val="0"/>
          <w:divBdr>
            <w:top w:val="none" w:sz="0" w:space="0" w:color="auto"/>
            <w:left w:val="none" w:sz="0" w:space="0" w:color="auto"/>
            <w:bottom w:val="none" w:sz="0" w:space="0" w:color="auto"/>
            <w:right w:val="none" w:sz="0" w:space="0" w:color="auto"/>
          </w:divBdr>
        </w:div>
        <w:div w:id="561018862">
          <w:marLeft w:val="0"/>
          <w:marRight w:val="0"/>
          <w:marTop w:val="330"/>
          <w:marBottom w:val="0"/>
          <w:divBdr>
            <w:top w:val="none" w:sz="0" w:space="0" w:color="auto"/>
            <w:left w:val="none" w:sz="0" w:space="0" w:color="auto"/>
            <w:bottom w:val="none" w:sz="0" w:space="0" w:color="auto"/>
            <w:right w:val="none" w:sz="0" w:space="0" w:color="auto"/>
          </w:divBdr>
        </w:div>
        <w:div w:id="44257771">
          <w:marLeft w:val="0"/>
          <w:marRight w:val="0"/>
          <w:marTop w:val="330"/>
          <w:marBottom w:val="0"/>
          <w:divBdr>
            <w:top w:val="none" w:sz="0" w:space="0" w:color="auto"/>
            <w:left w:val="none" w:sz="0" w:space="0" w:color="auto"/>
            <w:bottom w:val="none" w:sz="0" w:space="0" w:color="auto"/>
            <w:right w:val="none" w:sz="0" w:space="0" w:color="auto"/>
          </w:divBdr>
        </w:div>
        <w:div w:id="1203978841">
          <w:marLeft w:val="0"/>
          <w:marRight w:val="0"/>
          <w:marTop w:val="330"/>
          <w:marBottom w:val="0"/>
          <w:divBdr>
            <w:top w:val="none" w:sz="0" w:space="0" w:color="auto"/>
            <w:left w:val="none" w:sz="0" w:space="0" w:color="auto"/>
            <w:bottom w:val="none" w:sz="0" w:space="0" w:color="auto"/>
            <w:right w:val="none" w:sz="0" w:space="0" w:color="auto"/>
          </w:divBdr>
        </w:div>
        <w:div w:id="2112041122">
          <w:marLeft w:val="0"/>
          <w:marRight w:val="0"/>
          <w:marTop w:val="330"/>
          <w:marBottom w:val="0"/>
          <w:divBdr>
            <w:top w:val="none" w:sz="0" w:space="0" w:color="auto"/>
            <w:left w:val="none" w:sz="0" w:space="0" w:color="auto"/>
            <w:bottom w:val="none" w:sz="0" w:space="0" w:color="auto"/>
            <w:right w:val="none" w:sz="0" w:space="0" w:color="auto"/>
          </w:divBdr>
        </w:div>
        <w:div w:id="1385719097">
          <w:marLeft w:val="0"/>
          <w:marRight w:val="0"/>
          <w:marTop w:val="330"/>
          <w:marBottom w:val="0"/>
          <w:divBdr>
            <w:top w:val="none" w:sz="0" w:space="0" w:color="auto"/>
            <w:left w:val="none" w:sz="0" w:space="0" w:color="auto"/>
            <w:bottom w:val="none" w:sz="0" w:space="0" w:color="auto"/>
            <w:right w:val="none" w:sz="0" w:space="0" w:color="auto"/>
          </w:divBdr>
        </w:div>
        <w:div w:id="1809009085">
          <w:marLeft w:val="0"/>
          <w:marRight w:val="0"/>
          <w:marTop w:val="330"/>
          <w:marBottom w:val="0"/>
          <w:divBdr>
            <w:top w:val="none" w:sz="0" w:space="0" w:color="auto"/>
            <w:left w:val="none" w:sz="0" w:space="0" w:color="auto"/>
            <w:bottom w:val="none" w:sz="0" w:space="0" w:color="auto"/>
            <w:right w:val="none" w:sz="0" w:space="0" w:color="auto"/>
          </w:divBdr>
        </w:div>
        <w:div w:id="1836922021">
          <w:marLeft w:val="0"/>
          <w:marRight w:val="0"/>
          <w:marTop w:val="330"/>
          <w:marBottom w:val="0"/>
          <w:divBdr>
            <w:top w:val="none" w:sz="0" w:space="0" w:color="auto"/>
            <w:left w:val="none" w:sz="0" w:space="0" w:color="auto"/>
            <w:bottom w:val="none" w:sz="0" w:space="0" w:color="auto"/>
            <w:right w:val="none" w:sz="0" w:space="0" w:color="auto"/>
          </w:divBdr>
        </w:div>
        <w:div w:id="734745842">
          <w:marLeft w:val="0"/>
          <w:marRight w:val="0"/>
          <w:marTop w:val="330"/>
          <w:marBottom w:val="0"/>
          <w:divBdr>
            <w:top w:val="none" w:sz="0" w:space="0" w:color="auto"/>
            <w:left w:val="none" w:sz="0" w:space="0" w:color="auto"/>
            <w:bottom w:val="none" w:sz="0" w:space="0" w:color="auto"/>
            <w:right w:val="none" w:sz="0" w:space="0" w:color="auto"/>
          </w:divBdr>
        </w:div>
        <w:div w:id="2065595950">
          <w:marLeft w:val="0"/>
          <w:marRight w:val="0"/>
          <w:marTop w:val="330"/>
          <w:marBottom w:val="0"/>
          <w:divBdr>
            <w:top w:val="none" w:sz="0" w:space="0" w:color="auto"/>
            <w:left w:val="none" w:sz="0" w:space="0" w:color="auto"/>
            <w:bottom w:val="none" w:sz="0" w:space="0" w:color="auto"/>
            <w:right w:val="none" w:sz="0" w:space="0" w:color="auto"/>
          </w:divBdr>
        </w:div>
        <w:div w:id="1259824078">
          <w:marLeft w:val="0"/>
          <w:marRight w:val="0"/>
          <w:marTop w:val="330"/>
          <w:marBottom w:val="0"/>
          <w:divBdr>
            <w:top w:val="none" w:sz="0" w:space="0" w:color="auto"/>
            <w:left w:val="none" w:sz="0" w:space="0" w:color="auto"/>
            <w:bottom w:val="none" w:sz="0" w:space="0" w:color="auto"/>
            <w:right w:val="none" w:sz="0" w:space="0" w:color="auto"/>
          </w:divBdr>
        </w:div>
        <w:div w:id="1766996340">
          <w:marLeft w:val="0"/>
          <w:marRight w:val="0"/>
          <w:marTop w:val="330"/>
          <w:marBottom w:val="0"/>
          <w:divBdr>
            <w:top w:val="none" w:sz="0" w:space="0" w:color="auto"/>
            <w:left w:val="none" w:sz="0" w:space="0" w:color="auto"/>
            <w:bottom w:val="none" w:sz="0" w:space="0" w:color="auto"/>
            <w:right w:val="none" w:sz="0" w:space="0" w:color="auto"/>
          </w:divBdr>
        </w:div>
        <w:div w:id="1066412428">
          <w:marLeft w:val="0"/>
          <w:marRight w:val="0"/>
          <w:marTop w:val="330"/>
          <w:marBottom w:val="0"/>
          <w:divBdr>
            <w:top w:val="none" w:sz="0" w:space="0" w:color="auto"/>
            <w:left w:val="none" w:sz="0" w:space="0" w:color="auto"/>
            <w:bottom w:val="none" w:sz="0" w:space="0" w:color="auto"/>
            <w:right w:val="none" w:sz="0" w:space="0" w:color="auto"/>
          </w:divBdr>
        </w:div>
        <w:div w:id="1973752351">
          <w:marLeft w:val="0"/>
          <w:marRight w:val="0"/>
          <w:marTop w:val="330"/>
          <w:marBottom w:val="0"/>
          <w:divBdr>
            <w:top w:val="none" w:sz="0" w:space="0" w:color="auto"/>
            <w:left w:val="none" w:sz="0" w:space="0" w:color="auto"/>
            <w:bottom w:val="none" w:sz="0" w:space="0" w:color="auto"/>
            <w:right w:val="none" w:sz="0" w:space="0" w:color="auto"/>
          </w:divBdr>
        </w:div>
        <w:div w:id="1037124408">
          <w:marLeft w:val="0"/>
          <w:marRight w:val="0"/>
          <w:marTop w:val="330"/>
          <w:marBottom w:val="0"/>
          <w:divBdr>
            <w:top w:val="none" w:sz="0" w:space="0" w:color="auto"/>
            <w:left w:val="none" w:sz="0" w:space="0" w:color="auto"/>
            <w:bottom w:val="none" w:sz="0" w:space="0" w:color="auto"/>
            <w:right w:val="none" w:sz="0" w:space="0" w:color="auto"/>
          </w:divBdr>
        </w:div>
        <w:div w:id="1311979338">
          <w:marLeft w:val="0"/>
          <w:marRight w:val="0"/>
          <w:marTop w:val="330"/>
          <w:marBottom w:val="0"/>
          <w:divBdr>
            <w:top w:val="none" w:sz="0" w:space="0" w:color="auto"/>
            <w:left w:val="none" w:sz="0" w:space="0" w:color="auto"/>
            <w:bottom w:val="none" w:sz="0" w:space="0" w:color="auto"/>
            <w:right w:val="none" w:sz="0" w:space="0" w:color="auto"/>
          </w:divBdr>
        </w:div>
        <w:div w:id="582881009">
          <w:marLeft w:val="0"/>
          <w:marRight w:val="0"/>
          <w:marTop w:val="330"/>
          <w:marBottom w:val="0"/>
          <w:divBdr>
            <w:top w:val="none" w:sz="0" w:space="0" w:color="auto"/>
            <w:left w:val="none" w:sz="0" w:space="0" w:color="auto"/>
            <w:bottom w:val="none" w:sz="0" w:space="0" w:color="auto"/>
            <w:right w:val="none" w:sz="0" w:space="0" w:color="auto"/>
          </w:divBdr>
        </w:div>
        <w:div w:id="1000737192">
          <w:marLeft w:val="0"/>
          <w:marRight w:val="0"/>
          <w:marTop w:val="330"/>
          <w:marBottom w:val="0"/>
          <w:divBdr>
            <w:top w:val="none" w:sz="0" w:space="0" w:color="auto"/>
            <w:left w:val="none" w:sz="0" w:space="0" w:color="auto"/>
            <w:bottom w:val="none" w:sz="0" w:space="0" w:color="auto"/>
            <w:right w:val="none" w:sz="0" w:space="0" w:color="auto"/>
          </w:divBdr>
        </w:div>
        <w:div w:id="48263629">
          <w:marLeft w:val="0"/>
          <w:marRight w:val="0"/>
          <w:marTop w:val="330"/>
          <w:marBottom w:val="0"/>
          <w:divBdr>
            <w:top w:val="none" w:sz="0" w:space="0" w:color="auto"/>
            <w:left w:val="none" w:sz="0" w:space="0" w:color="auto"/>
            <w:bottom w:val="none" w:sz="0" w:space="0" w:color="auto"/>
            <w:right w:val="none" w:sz="0" w:space="0" w:color="auto"/>
          </w:divBdr>
        </w:div>
        <w:div w:id="36200964">
          <w:marLeft w:val="0"/>
          <w:marRight w:val="0"/>
          <w:marTop w:val="330"/>
          <w:marBottom w:val="0"/>
          <w:divBdr>
            <w:top w:val="none" w:sz="0" w:space="0" w:color="auto"/>
            <w:left w:val="none" w:sz="0" w:space="0" w:color="auto"/>
            <w:bottom w:val="none" w:sz="0" w:space="0" w:color="auto"/>
            <w:right w:val="none" w:sz="0" w:space="0" w:color="auto"/>
          </w:divBdr>
        </w:div>
        <w:div w:id="1789160413">
          <w:marLeft w:val="0"/>
          <w:marRight w:val="0"/>
          <w:marTop w:val="330"/>
          <w:marBottom w:val="0"/>
          <w:divBdr>
            <w:top w:val="none" w:sz="0" w:space="0" w:color="auto"/>
            <w:left w:val="none" w:sz="0" w:space="0" w:color="auto"/>
            <w:bottom w:val="none" w:sz="0" w:space="0" w:color="auto"/>
            <w:right w:val="none" w:sz="0" w:space="0" w:color="auto"/>
          </w:divBdr>
        </w:div>
        <w:div w:id="452330102">
          <w:marLeft w:val="0"/>
          <w:marRight w:val="0"/>
          <w:marTop w:val="330"/>
          <w:marBottom w:val="0"/>
          <w:divBdr>
            <w:top w:val="none" w:sz="0" w:space="0" w:color="auto"/>
            <w:left w:val="none" w:sz="0" w:space="0" w:color="auto"/>
            <w:bottom w:val="none" w:sz="0" w:space="0" w:color="auto"/>
            <w:right w:val="none" w:sz="0" w:space="0" w:color="auto"/>
          </w:divBdr>
        </w:div>
        <w:div w:id="9524789">
          <w:marLeft w:val="0"/>
          <w:marRight w:val="0"/>
          <w:marTop w:val="330"/>
          <w:marBottom w:val="0"/>
          <w:divBdr>
            <w:top w:val="none" w:sz="0" w:space="0" w:color="auto"/>
            <w:left w:val="none" w:sz="0" w:space="0" w:color="auto"/>
            <w:bottom w:val="none" w:sz="0" w:space="0" w:color="auto"/>
            <w:right w:val="none" w:sz="0" w:space="0" w:color="auto"/>
          </w:divBdr>
        </w:div>
        <w:div w:id="1163085702">
          <w:marLeft w:val="0"/>
          <w:marRight w:val="0"/>
          <w:marTop w:val="330"/>
          <w:marBottom w:val="0"/>
          <w:divBdr>
            <w:top w:val="none" w:sz="0" w:space="0" w:color="auto"/>
            <w:left w:val="none" w:sz="0" w:space="0" w:color="auto"/>
            <w:bottom w:val="none" w:sz="0" w:space="0" w:color="auto"/>
            <w:right w:val="none" w:sz="0" w:space="0" w:color="auto"/>
          </w:divBdr>
        </w:div>
        <w:div w:id="1951744864">
          <w:marLeft w:val="0"/>
          <w:marRight w:val="0"/>
          <w:marTop w:val="330"/>
          <w:marBottom w:val="0"/>
          <w:divBdr>
            <w:top w:val="none" w:sz="0" w:space="0" w:color="auto"/>
            <w:left w:val="none" w:sz="0" w:space="0" w:color="auto"/>
            <w:bottom w:val="none" w:sz="0" w:space="0" w:color="auto"/>
            <w:right w:val="none" w:sz="0" w:space="0" w:color="auto"/>
          </w:divBdr>
        </w:div>
        <w:div w:id="1716810839">
          <w:marLeft w:val="0"/>
          <w:marRight w:val="0"/>
          <w:marTop w:val="330"/>
          <w:marBottom w:val="0"/>
          <w:divBdr>
            <w:top w:val="none" w:sz="0" w:space="0" w:color="auto"/>
            <w:left w:val="none" w:sz="0" w:space="0" w:color="auto"/>
            <w:bottom w:val="none" w:sz="0" w:space="0" w:color="auto"/>
            <w:right w:val="none" w:sz="0" w:space="0" w:color="auto"/>
          </w:divBdr>
        </w:div>
        <w:div w:id="1495292510">
          <w:marLeft w:val="0"/>
          <w:marRight w:val="0"/>
          <w:marTop w:val="330"/>
          <w:marBottom w:val="0"/>
          <w:divBdr>
            <w:top w:val="none" w:sz="0" w:space="0" w:color="auto"/>
            <w:left w:val="none" w:sz="0" w:space="0" w:color="auto"/>
            <w:bottom w:val="none" w:sz="0" w:space="0" w:color="auto"/>
            <w:right w:val="none" w:sz="0" w:space="0" w:color="auto"/>
          </w:divBdr>
        </w:div>
        <w:div w:id="2105757004">
          <w:marLeft w:val="0"/>
          <w:marRight w:val="0"/>
          <w:marTop w:val="330"/>
          <w:marBottom w:val="0"/>
          <w:divBdr>
            <w:top w:val="none" w:sz="0" w:space="0" w:color="auto"/>
            <w:left w:val="none" w:sz="0" w:space="0" w:color="auto"/>
            <w:bottom w:val="none" w:sz="0" w:space="0" w:color="auto"/>
            <w:right w:val="none" w:sz="0" w:space="0" w:color="auto"/>
          </w:divBdr>
        </w:div>
        <w:div w:id="1942713213">
          <w:marLeft w:val="0"/>
          <w:marRight w:val="0"/>
          <w:marTop w:val="330"/>
          <w:marBottom w:val="0"/>
          <w:divBdr>
            <w:top w:val="none" w:sz="0" w:space="0" w:color="auto"/>
            <w:left w:val="none" w:sz="0" w:space="0" w:color="auto"/>
            <w:bottom w:val="none" w:sz="0" w:space="0" w:color="auto"/>
            <w:right w:val="none" w:sz="0" w:space="0" w:color="auto"/>
          </w:divBdr>
        </w:div>
        <w:div w:id="914125781">
          <w:marLeft w:val="0"/>
          <w:marRight w:val="0"/>
          <w:marTop w:val="330"/>
          <w:marBottom w:val="0"/>
          <w:divBdr>
            <w:top w:val="none" w:sz="0" w:space="0" w:color="auto"/>
            <w:left w:val="none" w:sz="0" w:space="0" w:color="auto"/>
            <w:bottom w:val="none" w:sz="0" w:space="0" w:color="auto"/>
            <w:right w:val="none" w:sz="0" w:space="0" w:color="auto"/>
          </w:divBdr>
        </w:div>
        <w:div w:id="1742676801">
          <w:marLeft w:val="0"/>
          <w:marRight w:val="0"/>
          <w:marTop w:val="330"/>
          <w:marBottom w:val="0"/>
          <w:divBdr>
            <w:top w:val="none" w:sz="0" w:space="0" w:color="auto"/>
            <w:left w:val="none" w:sz="0" w:space="0" w:color="auto"/>
            <w:bottom w:val="none" w:sz="0" w:space="0" w:color="auto"/>
            <w:right w:val="none" w:sz="0" w:space="0" w:color="auto"/>
          </w:divBdr>
        </w:div>
        <w:div w:id="81338072">
          <w:marLeft w:val="0"/>
          <w:marRight w:val="0"/>
          <w:marTop w:val="330"/>
          <w:marBottom w:val="0"/>
          <w:divBdr>
            <w:top w:val="none" w:sz="0" w:space="0" w:color="auto"/>
            <w:left w:val="none" w:sz="0" w:space="0" w:color="auto"/>
            <w:bottom w:val="none" w:sz="0" w:space="0" w:color="auto"/>
            <w:right w:val="none" w:sz="0" w:space="0" w:color="auto"/>
          </w:divBdr>
        </w:div>
        <w:div w:id="1297301305">
          <w:marLeft w:val="0"/>
          <w:marRight w:val="0"/>
          <w:marTop w:val="330"/>
          <w:marBottom w:val="0"/>
          <w:divBdr>
            <w:top w:val="none" w:sz="0" w:space="0" w:color="auto"/>
            <w:left w:val="none" w:sz="0" w:space="0" w:color="auto"/>
            <w:bottom w:val="none" w:sz="0" w:space="0" w:color="auto"/>
            <w:right w:val="none" w:sz="0" w:space="0" w:color="auto"/>
          </w:divBdr>
        </w:div>
        <w:div w:id="1984654142">
          <w:marLeft w:val="0"/>
          <w:marRight w:val="0"/>
          <w:marTop w:val="330"/>
          <w:marBottom w:val="0"/>
          <w:divBdr>
            <w:top w:val="none" w:sz="0" w:space="0" w:color="auto"/>
            <w:left w:val="none" w:sz="0" w:space="0" w:color="auto"/>
            <w:bottom w:val="none" w:sz="0" w:space="0" w:color="auto"/>
            <w:right w:val="none" w:sz="0" w:space="0" w:color="auto"/>
          </w:divBdr>
        </w:div>
        <w:div w:id="1559511776">
          <w:marLeft w:val="0"/>
          <w:marRight w:val="0"/>
          <w:marTop w:val="330"/>
          <w:marBottom w:val="0"/>
          <w:divBdr>
            <w:top w:val="none" w:sz="0" w:space="0" w:color="auto"/>
            <w:left w:val="none" w:sz="0" w:space="0" w:color="auto"/>
            <w:bottom w:val="none" w:sz="0" w:space="0" w:color="auto"/>
            <w:right w:val="none" w:sz="0" w:space="0" w:color="auto"/>
          </w:divBdr>
        </w:div>
        <w:div w:id="634063739">
          <w:marLeft w:val="0"/>
          <w:marRight w:val="0"/>
          <w:marTop w:val="330"/>
          <w:marBottom w:val="0"/>
          <w:divBdr>
            <w:top w:val="none" w:sz="0" w:space="0" w:color="auto"/>
            <w:left w:val="none" w:sz="0" w:space="0" w:color="auto"/>
            <w:bottom w:val="none" w:sz="0" w:space="0" w:color="auto"/>
            <w:right w:val="none" w:sz="0" w:space="0" w:color="auto"/>
          </w:divBdr>
        </w:div>
        <w:div w:id="2109616024">
          <w:marLeft w:val="0"/>
          <w:marRight w:val="0"/>
          <w:marTop w:val="330"/>
          <w:marBottom w:val="0"/>
          <w:divBdr>
            <w:top w:val="none" w:sz="0" w:space="0" w:color="auto"/>
            <w:left w:val="none" w:sz="0" w:space="0" w:color="auto"/>
            <w:bottom w:val="none" w:sz="0" w:space="0" w:color="auto"/>
            <w:right w:val="none" w:sz="0" w:space="0" w:color="auto"/>
          </w:divBdr>
        </w:div>
        <w:div w:id="1591430909">
          <w:marLeft w:val="0"/>
          <w:marRight w:val="0"/>
          <w:marTop w:val="330"/>
          <w:marBottom w:val="0"/>
          <w:divBdr>
            <w:top w:val="none" w:sz="0" w:space="0" w:color="auto"/>
            <w:left w:val="none" w:sz="0" w:space="0" w:color="auto"/>
            <w:bottom w:val="none" w:sz="0" w:space="0" w:color="auto"/>
            <w:right w:val="none" w:sz="0" w:space="0" w:color="auto"/>
          </w:divBdr>
        </w:div>
        <w:div w:id="1788236791">
          <w:marLeft w:val="0"/>
          <w:marRight w:val="0"/>
          <w:marTop w:val="330"/>
          <w:marBottom w:val="0"/>
          <w:divBdr>
            <w:top w:val="none" w:sz="0" w:space="0" w:color="auto"/>
            <w:left w:val="none" w:sz="0" w:space="0" w:color="auto"/>
            <w:bottom w:val="none" w:sz="0" w:space="0" w:color="auto"/>
            <w:right w:val="none" w:sz="0" w:space="0" w:color="auto"/>
          </w:divBdr>
        </w:div>
        <w:div w:id="1436559660">
          <w:marLeft w:val="0"/>
          <w:marRight w:val="0"/>
          <w:marTop w:val="330"/>
          <w:marBottom w:val="0"/>
          <w:divBdr>
            <w:top w:val="none" w:sz="0" w:space="0" w:color="auto"/>
            <w:left w:val="none" w:sz="0" w:space="0" w:color="auto"/>
            <w:bottom w:val="none" w:sz="0" w:space="0" w:color="auto"/>
            <w:right w:val="none" w:sz="0" w:space="0" w:color="auto"/>
          </w:divBdr>
        </w:div>
        <w:div w:id="359165469">
          <w:marLeft w:val="0"/>
          <w:marRight w:val="0"/>
          <w:marTop w:val="330"/>
          <w:marBottom w:val="0"/>
          <w:divBdr>
            <w:top w:val="none" w:sz="0" w:space="0" w:color="auto"/>
            <w:left w:val="none" w:sz="0" w:space="0" w:color="auto"/>
            <w:bottom w:val="none" w:sz="0" w:space="0" w:color="auto"/>
            <w:right w:val="none" w:sz="0" w:space="0" w:color="auto"/>
          </w:divBdr>
        </w:div>
        <w:div w:id="1729763164">
          <w:marLeft w:val="0"/>
          <w:marRight w:val="0"/>
          <w:marTop w:val="330"/>
          <w:marBottom w:val="0"/>
          <w:divBdr>
            <w:top w:val="none" w:sz="0" w:space="0" w:color="auto"/>
            <w:left w:val="none" w:sz="0" w:space="0" w:color="auto"/>
            <w:bottom w:val="none" w:sz="0" w:space="0" w:color="auto"/>
            <w:right w:val="none" w:sz="0" w:space="0" w:color="auto"/>
          </w:divBdr>
        </w:div>
        <w:div w:id="1143817475">
          <w:marLeft w:val="0"/>
          <w:marRight w:val="0"/>
          <w:marTop w:val="330"/>
          <w:marBottom w:val="0"/>
          <w:divBdr>
            <w:top w:val="none" w:sz="0" w:space="0" w:color="auto"/>
            <w:left w:val="none" w:sz="0" w:space="0" w:color="auto"/>
            <w:bottom w:val="none" w:sz="0" w:space="0" w:color="auto"/>
            <w:right w:val="none" w:sz="0" w:space="0" w:color="auto"/>
          </w:divBdr>
        </w:div>
        <w:div w:id="449979516">
          <w:marLeft w:val="0"/>
          <w:marRight w:val="0"/>
          <w:marTop w:val="330"/>
          <w:marBottom w:val="0"/>
          <w:divBdr>
            <w:top w:val="none" w:sz="0" w:space="0" w:color="auto"/>
            <w:left w:val="none" w:sz="0" w:space="0" w:color="auto"/>
            <w:bottom w:val="none" w:sz="0" w:space="0" w:color="auto"/>
            <w:right w:val="none" w:sz="0" w:space="0" w:color="auto"/>
          </w:divBdr>
        </w:div>
        <w:div w:id="1005673502">
          <w:marLeft w:val="0"/>
          <w:marRight w:val="0"/>
          <w:marTop w:val="330"/>
          <w:marBottom w:val="0"/>
          <w:divBdr>
            <w:top w:val="none" w:sz="0" w:space="0" w:color="auto"/>
            <w:left w:val="none" w:sz="0" w:space="0" w:color="auto"/>
            <w:bottom w:val="none" w:sz="0" w:space="0" w:color="auto"/>
            <w:right w:val="none" w:sz="0" w:space="0" w:color="auto"/>
          </w:divBdr>
        </w:div>
        <w:div w:id="423695006">
          <w:marLeft w:val="0"/>
          <w:marRight w:val="0"/>
          <w:marTop w:val="330"/>
          <w:marBottom w:val="0"/>
          <w:divBdr>
            <w:top w:val="none" w:sz="0" w:space="0" w:color="auto"/>
            <w:left w:val="none" w:sz="0" w:space="0" w:color="auto"/>
            <w:bottom w:val="none" w:sz="0" w:space="0" w:color="auto"/>
            <w:right w:val="none" w:sz="0" w:space="0" w:color="auto"/>
          </w:divBdr>
        </w:div>
        <w:div w:id="872578632">
          <w:marLeft w:val="0"/>
          <w:marRight w:val="0"/>
          <w:marTop w:val="330"/>
          <w:marBottom w:val="0"/>
          <w:divBdr>
            <w:top w:val="none" w:sz="0" w:space="0" w:color="auto"/>
            <w:left w:val="none" w:sz="0" w:space="0" w:color="auto"/>
            <w:bottom w:val="none" w:sz="0" w:space="0" w:color="auto"/>
            <w:right w:val="none" w:sz="0" w:space="0" w:color="auto"/>
          </w:divBdr>
        </w:div>
        <w:div w:id="1302223667">
          <w:marLeft w:val="0"/>
          <w:marRight w:val="0"/>
          <w:marTop w:val="330"/>
          <w:marBottom w:val="0"/>
          <w:divBdr>
            <w:top w:val="none" w:sz="0" w:space="0" w:color="auto"/>
            <w:left w:val="none" w:sz="0" w:space="0" w:color="auto"/>
            <w:bottom w:val="none" w:sz="0" w:space="0" w:color="auto"/>
            <w:right w:val="none" w:sz="0" w:space="0" w:color="auto"/>
          </w:divBdr>
        </w:div>
        <w:div w:id="1181353764">
          <w:marLeft w:val="0"/>
          <w:marRight w:val="0"/>
          <w:marTop w:val="330"/>
          <w:marBottom w:val="0"/>
          <w:divBdr>
            <w:top w:val="none" w:sz="0" w:space="0" w:color="auto"/>
            <w:left w:val="none" w:sz="0" w:space="0" w:color="auto"/>
            <w:bottom w:val="none" w:sz="0" w:space="0" w:color="auto"/>
            <w:right w:val="none" w:sz="0" w:space="0" w:color="auto"/>
          </w:divBdr>
        </w:div>
        <w:div w:id="75446792">
          <w:marLeft w:val="0"/>
          <w:marRight w:val="0"/>
          <w:marTop w:val="330"/>
          <w:marBottom w:val="0"/>
          <w:divBdr>
            <w:top w:val="none" w:sz="0" w:space="0" w:color="auto"/>
            <w:left w:val="none" w:sz="0" w:space="0" w:color="auto"/>
            <w:bottom w:val="none" w:sz="0" w:space="0" w:color="auto"/>
            <w:right w:val="none" w:sz="0" w:space="0" w:color="auto"/>
          </w:divBdr>
        </w:div>
        <w:div w:id="1391228277">
          <w:marLeft w:val="0"/>
          <w:marRight w:val="0"/>
          <w:marTop w:val="330"/>
          <w:marBottom w:val="0"/>
          <w:divBdr>
            <w:top w:val="none" w:sz="0" w:space="0" w:color="auto"/>
            <w:left w:val="none" w:sz="0" w:space="0" w:color="auto"/>
            <w:bottom w:val="none" w:sz="0" w:space="0" w:color="auto"/>
            <w:right w:val="none" w:sz="0" w:space="0" w:color="auto"/>
          </w:divBdr>
        </w:div>
        <w:div w:id="1002272740">
          <w:marLeft w:val="0"/>
          <w:marRight w:val="0"/>
          <w:marTop w:val="330"/>
          <w:marBottom w:val="0"/>
          <w:divBdr>
            <w:top w:val="none" w:sz="0" w:space="0" w:color="auto"/>
            <w:left w:val="none" w:sz="0" w:space="0" w:color="auto"/>
            <w:bottom w:val="none" w:sz="0" w:space="0" w:color="auto"/>
            <w:right w:val="none" w:sz="0" w:space="0" w:color="auto"/>
          </w:divBdr>
        </w:div>
        <w:div w:id="3676413">
          <w:marLeft w:val="0"/>
          <w:marRight w:val="0"/>
          <w:marTop w:val="330"/>
          <w:marBottom w:val="0"/>
          <w:divBdr>
            <w:top w:val="none" w:sz="0" w:space="0" w:color="auto"/>
            <w:left w:val="none" w:sz="0" w:space="0" w:color="auto"/>
            <w:bottom w:val="none" w:sz="0" w:space="0" w:color="auto"/>
            <w:right w:val="none" w:sz="0" w:space="0" w:color="auto"/>
          </w:divBdr>
        </w:div>
        <w:div w:id="559487457">
          <w:marLeft w:val="0"/>
          <w:marRight w:val="0"/>
          <w:marTop w:val="330"/>
          <w:marBottom w:val="0"/>
          <w:divBdr>
            <w:top w:val="none" w:sz="0" w:space="0" w:color="auto"/>
            <w:left w:val="none" w:sz="0" w:space="0" w:color="auto"/>
            <w:bottom w:val="none" w:sz="0" w:space="0" w:color="auto"/>
            <w:right w:val="none" w:sz="0" w:space="0" w:color="auto"/>
          </w:divBdr>
        </w:div>
        <w:div w:id="1353872265">
          <w:marLeft w:val="0"/>
          <w:marRight w:val="0"/>
          <w:marTop w:val="330"/>
          <w:marBottom w:val="0"/>
          <w:divBdr>
            <w:top w:val="none" w:sz="0" w:space="0" w:color="auto"/>
            <w:left w:val="none" w:sz="0" w:space="0" w:color="auto"/>
            <w:bottom w:val="none" w:sz="0" w:space="0" w:color="auto"/>
            <w:right w:val="none" w:sz="0" w:space="0" w:color="auto"/>
          </w:divBdr>
        </w:div>
        <w:div w:id="75445228">
          <w:marLeft w:val="0"/>
          <w:marRight w:val="0"/>
          <w:marTop w:val="330"/>
          <w:marBottom w:val="0"/>
          <w:divBdr>
            <w:top w:val="none" w:sz="0" w:space="0" w:color="auto"/>
            <w:left w:val="none" w:sz="0" w:space="0" w:color="auto"/>
            <w:bottom w:val="none" w:sz="0" w:space="0" w:color="auto"/>
            <w:right w:val="none" w:sz="0" w:space="0" w:color="auto"/>
          </w:divBdr>
        </w:div>
        <w:div w:id="1820999914">
          <w:marLeft w:val="0"/>
          <w:marRight w:val="0"/>
          <w:marTop w:val="330"/>
          <w:marBottom w:val="0"/>
          <w:divBdr>
            <w:top w:val="none" w:sz="0" w:space="0" w:color="auto"/>
            <w:left w:val="none" w:sz="0" w:space="0" w:color="auto"/>
            <w:bottom w:val="none" w:sz="0" w:space="0" w:color="auto"/>
            <w:right w:val="none" w:sz="0" w:space="0" w:color="auto"/>
          </w:divBdr>
        </w:div>
        <w:div w:id="1831828785">
          <w:marLeft w:val="0"/>
          <w:marRight w:val="0"/>
          <w:marTop w:val="330"/>
          <w:marBottom w:val="0"/>
          <w:divBdr>
            <w:top w:val="none" w:sz="0" w:space="0" w:color="auto"/>
            <w:left w:val="none" w:sz="0" w:space="0" w:color="auto"/>
            <w:bottom w:val="none" w:sz="0" w:space="0" w:color="auto"/>
            <w:right w:val="none" w:sz="0" w:space="0" w:color="auto"/>
          </w:divBdr>
        </w:div>
        <w:div w:id="1852261897">
          <w:marLeft w:val="0"/>
          <w:marRight w:val="0"/>
          <w:marTop w:val="330"/>
          <w:marBottom w:val="0"/>
          <w:divBdr>
            <w:top w:val="none" w:sz="0" w:space="0" w:color="auto"/>
            <w:left w:val="none" w:sz="0" w:space="0" w:color="auto"/>
            <w:bottom w:val="none" w:sz="0" w:space="0" w:color="auto"/>
            <w:right w:val="none" w:sz="0" w:space="0" w:color="auto"/>
          </w:divBdr>
        </w:div>
        <w:div w:id="1798521733">
          <w:marLeft w:val="0"/>
          <w:marRight w:val="0"/>
          <w:marTop w:val="330"/>
          <w:marBottom w:val="0"/>
          <w:divBdr>
            <w:top w:val="none" w:sz="0" w:space="0" w:color="auto"/>
            <w:left w:val="none" w:sz="0" w:space="0" w:color="auto"/>
            <w:bottom w:val="none" w:sz="0" w:space="0" w:color="auto"/>
            <w:right w:val="none" w:sz="0" w:space="0" w:color="auto"/>
          </w:divBdr>
        </w:div>
        <w:div w:id="1786270708">
          <w:marLeft w:val="0"/>
          <w:marRight w:val="0"/>
          <w:marTop w:val="330"/>
          <w:marBottom w:val="0"/>
          <w:divBdr>
            <w:top w:val="none" w:sz="0" w:space="0" w:color="auto"/>
            <w:left w:val="none" w:sz="0" w:space="0" w:color="auto"/>
            <w:bottom w:val="none" w:sz="0" w:space="0" w:color="auto"/>
            <w:right w:val="none" w:sz="0" w:space="0" w:color="auto"/>
          </w:divBdr>
        </w:div>
        <w:div w:id="1722290596">
          <w:marLeft w:val="0"/>
          <w:marRight w:val="0"/>
          <w:marTop w:val="330"/>
          <w:marBottom w:val="0"/>
          <w:divBdr>
            <w:top w:val="none" w:sz="0" w:space="0" w:color="auto"/>
            <w:left w:val="none" w:sz="0" w:space="0" w:color="auto"/>
            <w:bottom w:val="none" w:sz="0" w:space="0" w:color="auto"/>
            <w:right w:val="none" w:sz="0" w:space="0" w:color="auto"/>
          </w:divBdr>
        </w:div>
        <w:div w:id="1615213338">
          <w:marLeft w:val="0"/>
          <w:marRight w:val="0"/>
          <w:marTop w:val="330"/>
          <w:marBottom w:val="0"/>
          <w:divBdr>
            <w:top w:val="none" w:sz="0" w:space="0" w:color="auto"/>
            <w:left w:val="none" w:sz="0" w:space="0" w:color="auto"/>
            <w:bottom w:val="none" w:sz="0" w:space="0" w:color="auto"/>
            <w:right w:val="none" w:sz="0" w:space="0" w:color="auto"/>
          </w:divBdr>
        </w:div>
        <w:div w:id="297608420">
          <w:marLeft w:val="0"/>
          <w:marRight w:val="0"/>
          <w:marTop w:val="330"/>
          <w:marBottom w:val="0"/>
          <w:divBdr>
            <w:top w:val="none" w:sz="0" w:space="0" w:color="auto"/>
            <w:left w:val="none" w:sz="0" w:space="0" w:color="auto"/>
            <w:bottom w:val="none" w:sz="0" w:space="0" w:color="auto"/>
            <w:right w:val="none" w:sz="0" w:space="0" w:color="auto"/>
          </w:divBdr>
        </w:div>
        <w:div w:id="1408260188">
          <w:marLeft w:val="0"/>
          <w:marRight w:val="0"/>
          <w:marTop w:val="330"/>
          <w:marBottom w:val="0"/>
          <w:divBdr>
            <w:top w:val="none" w:sz="0" w:space="0" w:color="auto"/>
            <w:left w:val="none" w:sz="0" w:space="0" w:color="auto"/>
            <w:bottom w:val="none" w:sz="0" w:space="0" w:color="auto"/>
            <w:right w:val="none" w:sz="0" w:space="0" w:color="auto"/>
          </w:divBdr>
        </w:div>
        <w:div w:id="1841967414">
          <w:marLeft w:val="0"/>
          <w:marRight w:val="0"/>
          <w:marTop w:val="330"/>
          <w:marBottom w:val="0"/>
          <w:divBdr>
            <w:top w:val="none" w:sz="0" w:space="0" w:color="auto"/>
            <w:left w:val="none" w:sz="0" w:space="0" w:color="auto"/>
            <w:bottom w:val="none" w:sz="0" w:space="0" w:color="auto"/>
            <w:right w:val="none" w:sz="0" w:space="0" w:color="auto"/>
          </w:divBdr>
        </w:div>
        <w:div w:id="1830515481">
          <w:marLeft w:val="0"/>
          <w:marRight w:val="0"/>
          <w:marTop w:val="330"/>
          <w:marBottom w:val="0"/>
          <w:divBdr>
            <w:top w:val="none" w:sz="0" w:space="0" w:color="auto"/>
            <w:left w:val="none" w:sz="0" w:space="0" w:color="auto"/>
            <w:bottom w:val="none" w:sz="0" w:space="0" w:color="auto"/>
            <w:right w:val="none" w:sz="0" w:space="0" w:color="auto"/>
          </w:divBdr>
        </w:div>
        <w:div w:id="1030372612">
          <w:marLeft w:val="0"/>
          <w:marRight w:val="0"/>
          <w:marTop w:val="330"/>
          <w:marBottom w:val="0"/>
          <w:divBdr>
            <w:top w:val="none" w:sz="0" w:space="0" w:color="auto"/>
            <w:left w:val="none" w:sz="0" w:space="0" w:color="auto"/>
            <w:bottom w:val="none" w:sz="0" w:space="0" w:color="auto"/>
            <w:right w:val="none" w:sz="0" w:space="0" w:color="auto"/>
          </w:divBdr>
        </w:div>
        <w:div w:id="1823933447">
          <w:marLeft w:val="0"/>
          <w:marRight w:val="0"/>
          <w:marTop w:val="330"/>
          <w:marBottom w:val="0"/>
          <w:divBdr>
            <w:top w:val="none" w:sz="0" w:space="0" w:color="auto"/>
            <w:left w:val="none" w:sz="0" w:space="0" w:color="auto"/>
            <w:bottom w:val="none" w:sz="0" w:space="0" w:color="auto"/>
            <w:right w:val="none" w:sz="0" w:space="0" w:color="auto"/>
          </w:divBdr>
        </w:div>
        <w:div w:id="340931494">
          <w:marLeft w:val="0"/>
          <w:marRight w:val="0"/>
          <w:marTop w:val="330"/>
          <w:marBottom w:val="0"/>
          <w:divBdr>
            <w:top w:val="none" w:sz="0" w:space="0" w:color="auto"/>
            <w:left w:val="none" w:sz="0" w:space="0" w:color="auto"/>
            <w:bottom w:val="none" w:sz="0" w:space="0" w:color="auto"/>
            <w:right w:val="none" w:sz="0" w:space="0" w:color="auto"/>
          </w:divBdr>
        </w:div>
        <w:div w:id="1980919101">
          <w:marLeft w:val="0"/>
          <w:marRight w:val="0"/>
          <w:marTop w:val="330"/>
          <w:marBottom w:val="0"/>
          <w:divBdr>
            <w:top w:val="none" w:sz="0" w:space="0" w:color="auto"/>
            <w:left w:val="none" w:sz="0" w:space="0" w:color="auto"/>
            <w:bottom w:val="none" w:sz="0" w:space="0" w:color="auto"/>
            <w:right w:val="none" w:sz="0" w:space="0" w:color="auto"/>
          </w:divBdr>
        </w:div>
        <w:div w:id="1746680193">
          <w:marLeft w:val="0"/>
          <w:marRight w:val="0"/>
          <w:marTop w:val="330"/>
          <w:marBottom w:val="0"/>
          <w:divBdr>
            <w:top w:val="none" w:sz="0" w:space="0" w:color="auto"/>
            <w:left w:val="none" w:sz="0" w:space="0" w:color="auto"/>
            <w:bottom w:val="none" w:sz="0" w:space="0" w:color="auto"/>
            <w:right w:val="none" w:sz="0" w:space="0" w:color="auto"/>
          </w:divBdr>
        </w:div>
        <w:div w:id="735052465">
          <w:marLeft w:val="0"/>
          <w:marRight w:val="0"/>
          <w:marTop w:val="330"/>
          <w:marBottom w:val="0"/>
          <w:divBdr>
            <w:top w:val="none" w:sz="0" w:space="0" w:color="auto"/>
            <w:left w:val="none" w:sz="0" w:space="0" w:color="auto"/>
            <w:bottom w:val="none" w:sz="0" w:space="0" w:color="auto"/>
            <w:right w:val="none" w:sz="0" w:space="0" w:color="auto"/>
          </w:divBdr>
        </w:div>
        <w:div w:id="1096244589">
          <w:marLeft w:val="0"/>
          <w:marRight w:val="0"/>
          <w:marTop w:val="330"/>
          <w:marBottom w:val="0"/>
          <w:divBdr>
            <w:top w:val="none" w:sz="0" w:space="0" w:color="auto"/>
            <w:left w:val="none" w:sz="0" w:space="0" w:color="auto"/>
            <w:bottom w:val="none" w:sz="0" w:space="0" w:color="auto"/>
            <w:right w:val="none" w:sz="0" w:space="0" w:color="auto"/>
          </w:divBdr>
        </w:div>
        <w:div w:id="1379821808">
          <w:marLeft w:val="0"/>
          <w:marRight w:val="0"/>
          <w:marTop w:val="330"/>
          <w:marBottom w:val="0"/>
          <w:divBdr>
            <w:top w:val="none" w:sz="0" w:space="0" w:color="auto"/>
            <w:left w:val="none" w:sz="0" w:space="0" w:color="auto"/>
            <w:bottom w:val="none" w:sz="0" w:space="0" w:color="auto"/>
            <w:right w:val="none" w:sz="0" w:space="0" w:color="auto"/>
          </w:divBdr>
        </w:div>
        <w:div w:id="1781297078">
          <w:marLeft w:val="0"/>
          <w:marRight w:val="0"/>
          <w:marTop w:val="330"/>
          <w:marBottom w:val="0"/>
          <w:divBdr>
            <w:top w:val="none" w:sz="0" w:space="0" w:color="auto"/>
            <w:left w:val="none" w:sz="0" w:space="0" w:color="auto"/>
            <w:bottom w:val="none" w:sz="0" w:space="0" w:color="auto"/>
            <w:right w:val="none" w:sz="0" w:space="0" w:color="auto"/>
          </w:divBdr>
        </w:div>
        <w:div w:id="1285844863">
          <w:marLeft w:val="0"/>
          <w:marRight w:val="0"/>
          <w:marTop w:val="330"/>
          <w:marBottom w:val="0"/>
          <w:divBdr>
            <w:top w:val="none" w:sz="0" w:space="0" w:color="auto"/>
            <w:left w:val="none" w:sz="0" w:space="0" w:color="auto"/>
            <w:bottom w:val="none" w:sz="0" w:space="0" w:color="auto"/>
            <w:right w:val="none" w:sz="0" w:space="0" w:color="auto"/>
          </w:divBdr>
        </w:div>
        <w:div w:id="56631660">
          <w:marLeft w:val="0"/>
          <w:marRight w:val="0"/>
          <w:marTop w:val="330"/>
          <w:marBottom w:val="0"/>
          <w:divBdr>
            <w:top w:val="none" w:sz="0" w:space="0" w:color="auto"/>
            <w:left w:val="none" w:sz="0" w:space="0" w:color="auto"/>
            <w:bottom w:val="none" w:sz="0" w:space="0" w:color="auto"/>
            <w:right w:val="none" w:sz="0" w:space="0" w:color="auto"/>
          </w:divBdr>
        </w:div>
        <w:div w:id="1173688731">
          <w:marLeft w:val="0"/>
          <w:marRight w:val="0"/>
          <w:marTop w:val="330"/>
          <w:marBottom w:val="0"/>
          <w:divBdr>
            <w:top w:val="none" w:sz="0" w:space="0" w:color="auto"/>
            <w:left w:val="none" w:sz="0" w:space="0" w:color="auto"/>
            <w:bottom w:val="none" w:sz="0" w:space="0" w:color="auto"/>
            <w:right w:val="none" w:sz="0" w:space="0" w:color="auto"/>
          </w:divBdr>
        </w:div>
        <w:div w:id="27921655">
          <w:marLeft w:val="0"/>
          <w:marRight w:val="0"/>
          <w:marTop w:val="330"/>
          <w:marBottom w:val="0"/>
          <w:divBdr>
            <w:top w:val="none" w:sz="0" w:space="0" w:color="auto"/>
            <w:left w:val="none" w:sz="0" w:space="0" w:color="auto"/>
            <w:bottom w:val="none" w:sz="0" w:space="0" w:color="auto"/>
            <w:right w:val="none" w:sz="0" w:space="0" w:color="auto"/>
          </w:divBdr>
        </w:div>
        <w:div w:id="2055537133">
          <w:marLeft w:val="0"/>
          <w:marRight w:val="0"/>
          <w:marTop w:val="330"/>
          <w:marBottom w:val="0"/>
          <w:divBdr>
            <w:top w:val="none" w:sz="0" w:space="0" w:color="auto"/>
            <w:left w:val="none" w:sz="0" w:space="0" w:color="auto"/>
            <w:bottom w:val="none" w:sz="0" w:space="0" w:color="auto"/>
            <w:right w:val="none" w:sz="0" w:space="0" w:color="auto"/>
          </w:divBdr>
        </w:div>
        <w:div w:id="1912036649">
          <w:marLeft w:val="0"/>
          <w:marRight w:val="0"/>
          <w:marTop w:val="330"/>
          <w:marBottom w:val="0"/>
          <w:divBdr>
            <w:top w:val="none" w:sz="0" w:space="0" w:color="auto"/>
            <w:left w:val="none" w:sz="0" w:space="0" w:color="auto"/>
            <w:bottom w:val="none" w:sz="0" w:space="0" w:color="auto"/>
            <w:right w:val="none" w:sz="0" w:space="0" w:color="auto"/>
          </w:divBdr>
        </w:div>
        <w:div w:id="350227610">
          <w:marLeft w:val="0"/>
          <w:marRight w:val="0"/>
          <w:marTop w:val="330"/>
          <w:marBottom w:val="0"/>
          <w:divBdr>
            <w:top w:val="none" w:sz="0" w:space="0" w:color="auto"/>
            <w:left w:val="none" w:sz="0" w:space="0" w:color="auto"/>
            <w:bottom w:val="none" w:sz="0" w:space="0" w:color="auto"/>
            <w:right w:val="none" w:sz="0" w:space="0" w:color="auto"/>
          </w:divBdr>
        </w:div>
        <w:div w:id="2110199972">
          <w:marLeft w:val="0"/>
          <w:marRight w:val="0"/>
          <w:marTop w:val="330"/>
          <w:marBottom w:val="0"/>
          <w:divBdr>
            <w:top w:val="none" w:sz="0" w:space="0" w:color="auto"/>
            <w:left w:val="none" w:sz="0" w:space="0" w:color="auto"/>
            <w:bottom w:val="none" w:sz="0" w:space="0" w:color="auto"/>
            <w:right w:val="none" w:sz="0" w:space="0" w:color="auto"/>
          </w:divBdr>
        </w:div>
        <w:div w:id="1495417353">
          <w:marLeft w:val="0"/>
          <w:marRight w:val="0"/>
          <w:marTop w:val="330"/>
          <w:marBottom w:val="0"/>
          <w:divBdr>
            <w:top w:val="none" w:sz="0" w:space="0" w:color="auto"/>
            <w:left w:val="none" w:sz="0" w:space="0" w:color="auto"/>
            <w:bottom w:val="none" w:sz="0" w:space="0" w:color="auto"/>
            <w:right w:val="none" w:sz="0" w:space="0" w:color="auto"/>
          </w:divBdr>
        </w:div>
        <w:div w:id="2065595355">
          <w:marLeft w:val="0"/>
          <w:marRight w:val="0"/>
          <w:marTop w:val="330"/>
          <w:marBottom w:val="0"/>
          <w:divBdr>
            <w:top w:val="none" w:sz="0" w:space="0" w:color="auto"/>
            <w:left w:val="none" w:sz="0" w:space="0" w:color="auto"/>
            <w:bottom w:val="none" w:sz="0" w:space="0" w:color="auto"/>
            <w:right w:val="none" w:sz="0" w:space="0" w:color="auto"/>
          </w:divBdr>
        </w:div>
        <w:div w:id="921329825">
          <w:marLeft w:val="0"/>
          <w:marRight w:val="0"/>
          <w:marTop w:val="330"/>
          <w:marBottom w:val="0"/>
          <w:divBdr>
            <w:top w:val="none" w:sz="0" w:space="0" w:color="auto"/>
            <w:left w:val="none" w:sz="0" w:space="0" w:color="auto"/>
            <w:bottom w:val="none" w:sz="0" w:space="0" w:color="auto"/>
            <w:right w:val="none" w:sz="0" w:space="0" w:color="auto"/>
          </w:divBdr>
        </w:div>
        <w:div w:id="713239118">
          <w:marLeft w:val="0"/>
          <w:marRight w:val="0"/>
          <w:marTop w:val="330"/>
          <w:marBottom w:val="0"/>
          <w:divBdr>
            <w:top w:val="none" w:sz="0" w:space="0" w:color="auto"/>
            <w:left w:val="none" w:sz="0" w:space="0" w:color="auto"/>
            <w:bottom w:val="none" w:sz="0" w:space="0" w:color="auto"/>
            <w:right w:val="none" w:sz="0" w:space="0" w:color="auto"/>
          </w:divBdr>
        </w:div>
        <w:div w:id="2071725357">
          <w:marLeft w:val="0"/>
          <w:marRight w:val="0"/>
          <w:marTop w:val="330"/>
          <w:marBottom w:val="0"/>
          <w:divBdr>
            <w:top w:val="none" w:sz="0" w:space="0" w:color="auto"/>
            <w:left w:val="none" w:sz="0" w:space="0" w:color="auto"/>
            <w:bottom w:val="none" w:sz="0" w:space="0" w:color="auto"/>
            <w:right w:val="none" w:sz="0" w:space="0" w:color="auto"/>
          </w:divBdr>
        </w:div>
        <w:div w:id="396786422">
          <w:marLeft w:val="0"/>
          <w:marRight w:val="0"/>
          <w:marTop w:val="330"/>
          <w:marBottom w:val="0"/>
          <w:divBdr>
            <w:top w:val="none" w:sz="0" w:space="0" w:color="auto"/>
            <w:left w:val="none" w:sz="0" w:space="0" w:color="auto"/>
            <w:bottom w:val="none" w:sz="0" w:space="0" w:color="auto"/>
            <w:right w:val="none" w:sz="0" w:space="0" w:color="auto"/>
          </w:divBdr>
        </w:div>
        <w:div w:id="1726878443">
          <w:marLeft w:val="0"/>
          <w:marRight w:val="0"/>
          <w:marTop w:val="330"/>
          <w:marBottom w:val="0"/>
          <w:divBdr>
            <w:top w:val="none" w:sz="0" w:space="0" w:color="auto"/>
            <w:left w:val="none" w:sz="0" w:space="0" w:color="auto"/>
            <w:bottom w:val="none" w:sz="0" w:space="0" w:color="auto"/>
            <w:right w:val="none" w:sz="0" w:space="0" w:color="auto"/>
          </w:divBdr>
        </w:div>
        <w:div w:id="1209881107">
          <w:marLeft w:val="0"/>
          <w:marRight w:val="0"/>
          <w:marTop w:val="330"/>
          <w:marBottom w:val="0"/>
          <w:divBdr>
            <w:top w:val="none" w:sz="0" w:space="0" w:color="auto"/>
            <w:left w:val="none" w:sz="0" w:space="0" w:color="auto"/>
            <w:bottom w:val="none" w:sz="0" w:space="0" w:color="auto"/>
            <w:right w:val="none" w:sz="0" w:space="0" w:color="auto"/>
          </w:divBdr>
        </w:div>
        <w:div w:id="1352143737">
          <w:marLeft w:val="0"/>
          <w:marRight w:val="0"/>
          <w:marTop w:val="330"/>
          <w:marBottom w:val="0"/>
          <w:divBdr>
            <w:top w:val="none" w:sz="0" w:space="0" w:color="auto"/>
            <w:left w:val="none" w:sz="0" w:space="0" w:color="auto"/>
            <w:bottom w:val="none" w:sz="0" w:space="0" w:color="auto"/>
            <w:right w:val="none" w:sz="0" w:space="0" w:color="auto"/>
          </w:divBdr>
        </w:div>
        <w:div w:id="150026342">
          <w:marLeft w:val="0"/>
          <w:marRight w:val="0"/>
          <w:marTop w:val="330"/>
          <w:marBottom w:val="0"/>
          <w:divBdr>
            <w:top w:val="none" w:sz="0" w:space="0" w:color="auto"/>
            <w:left w:val="none" w:sz="0" w:space="0" w:color="auto"/>
            <w:bottom w:val="none" w:sz="0" w:space="0" w:color="auto"/>
            <w:right w:val="none" w:sz="0" w:space="0" w:color="auto"/>
          </w:divBdr>
        </w:div>
        <w:div w:id="1226407032">
          <w:marLeft w:val="0"/>
          <w:marRight w:val="0"/>
          <w:marTop w:val="330"/>
          <w:marBottom w:val="0"/>
          <w:divBdr>
            <w:top w:val="none" w:sz="0" w:space="0" w:color="auto"/>
            <w:left w:val="none" w:sz="0" w:space="0" w:color="auto"/>
            <w:bottom w:val="none" w:sz="0" w:space="0" w:color="auto"/>
            <w:right w:val="none" w:sz="0" w:space="0" w:color="auto"/>
          </w:divBdr>
        </w:div>
        <w:div w:id="1068696609">
          <w:marLeft w:val="0"/>
          <w:marRight w:val="0"/>
          <w:marTop w:val="330"/>
          <w:marBottom w:val="0"/>
          <w:divBdr>
            <w:top w:val="none" w:sz="0" w:space="0" w:color="auto"/>
            <w:left w:val="none" w:sz="0" w:space="0" w:color="auto"/>
            <w:bottom w:val="none" w:sz="0" w:space="0" w:color="auto"/>
            <w:right w:val="none" w:sz="0" w:space="0" w:color="auto"/>
          </w:divBdr>
        </w:div>
        <w:div w:id="1674449723">
          <w:marLeft w:val="0"/>
          <w:marRight w:val="0"/>
          <w:marTop w:val="330"/>
          <w:marBottom w:val="0"/>
          <w:divBdr>
            <w:top w:val="none" w:sz="0" w:space="0" w:color="auto"/>
            <w:left w:val="none" w:sz="0" w:space="0" w:color="auto"/>
            <w:bottom w:val="none" w:sz="0" w:space="0" w:color="auto"/>
            <w:right w:val="none" w:sz="0" w:space="0" w:color="auto"/>
          </w:divBdr>
        </w:div>
        <w:div w:id="1528061114">
          <w:marLeft w:val="0"/>
          <w:marRight w:val="0"/>
          <w:marTop w:val="330"/>
          <w:marBottom w:val="0"/>
          <w:divBdr>
            <w:top w:val="none" w:sz="0" w:space="0" w:color="auto"/>
            <w:left w:val="none" w:sz="0" w:space="0" w:color="auto"/>
            <w:bottom w:val="none" w:sz="0" w:space="0" w:color="auto"/>
            <w:right w:val="none" w:sz="0" w:space="0" w:color="auto"/>
          </w:divBdr>
        </w:div>
        <w:div w:id="2023315812">
          <w:marLeft w:val="0"/>
          <w:marRight w:val="0"/>
          <w:marTop w:val="330"/>
          <w:marBottom w:val="0"/>
          <w:divBdr>
            <w:top w:val="none" w:sz="0" w:space="0" w:color="auto"/>
            <w:left w:val="none" w:sz="0" w:space="0" w:color="auto"/>
            <w:bottom w:val="none" w:sz="0" w:space="0" w:color="auto"/>
            <w:right w:val="none" w:sz="0" w:space="0" w:color="auto"/>
          </w:divBdr>
        </w:div>
        <w:div w:id="1917209298">
          <w:marLeft w:val="0"/>
          <w:marRight w:val="0"/>
          <w:marTop w:val="330"/>
          <w:marBottom w:val="0"/>
          <w:divBdr>
            <w:top w:val="none" w:sz="0" w:space="0" w:color="auto"/>
            <w:left w:val="none" w:sz="0" w:space="0" w:color="auto"/>
            <w:bottom w:val="none" w:sz="0" w:space="0" w:color="auto"/>
            <w:right w:val="none" w:sz="0" w:space="0" w:color="auto"/>
          </w:divBdr>
        </w:div>
        <w:div w:id="195236329">
          <w:marLeft w:val="0"/>
          <w:marRight w:val="0"/>
          <w:marTop w:val="330"/>
          <w:marBottom w:val="0"/>
          <w:divBdr>
            <w:top w:val="none" w:sz="0" w:space="0" w:color="auto"/>
            <w:left w:val="none" w:sz="0" w:space="0" w:color="auto"/>
            <w:bottom w:val="none" w:sz="0" w:space="0" w:color="auto"/>
            <w:right w:val="none" w:sz="0" w:space="0" w:color="auto"/>
          </w:divBdr>
        </w:div>
        <w:div w:id="627011308">
          <w:marLeft w:val="0"/>
          <w:marRight w:val="0"/>
          <w:marTop w:val="330"/>
          <w:marBottom w:val="0"/>
          <w:divBdr>
            <w:top w:val="none" w:sz="0" w:space="0" w:color="auto"/>
            <w:left w:val="none" w:sz="0" w:space="0" w:color="auto"/>
            <w:bottom w:val="none" w:sz="0" w:space="0" w:color="auto"/>
            <w:right w:val="none" w:sz="0" w:space="0" w:color="auto"/>
          </w:divBdr>
        </w:div>
        <w:div w:id="37511128">
          <w:marLeft w:val="0"/>
          <w:marRight w:val="0"/>
          <w:marTop w:val="330"/>
          <w:marBottom w:val="0"/>
          <w:divBdr>
            <w:top w:val="none" w:sz="0" w:space="0" w:color="auto"/>
            <w:left w:val="none" w:sz="0" w:space="0" w:color="auto"/>
            <w:bottom w:val="none" w:sz="0" w:space="0" w:color="auto"/>
            <w:right w:val="none" w:sz="0" w:space="0" w:color="auto"/>
          </w:divBdr>
        </w:div>
        <w:div w:id="133254082">
          <w:marLeft w:val="0"/>
          <w:marRight w:val="0"/>
          <w:marTop w:val="330"/>
          <w:marBottom w:val="0"/>
          <w:divBdr>
            <w:top w:val="none" w:sz="0" w:space="0" w:color="auto"/>
            <w:left w:val="none" w:sz="0" w:space="0" w:color="auto"/>
            <w:bottom w:val="none" w:sz="0" w:space="0" w:color="auto"/>
            <w:right w:val="none" w:sz="0" w:space="0" w:color="auto"/>
          </w:divBdr>
        </w:div>
        <w:div w:id="1595820922">
          <w:marLeft w:val="0"/>
          <w:marRight w:val="0"/>
          <w:marTop w:val="330"/>
          <w:marBottom w:val="0"/>
          <w:divBdr>
            <w:top w:val="none" w:sz="0" w:space="0" w:color="auto"/>
            <w:left w:val="none" w:sz="0" w:space="0" w:color="auto"/>
            <w:bottom w:val="none" w:sz="0" w:space="0" w:color="auto"/>
            <w:right w:val="none" w:sz="0" w:space="0" w:color="auto"/>
          </w:divBdr>
        </w:div>
        <w:div w:id="487483680">
          <w:marLeft w:val="0"/>
          <w:marRight w:val="0"/>
          <w:marTop w:val="330"/>
          <w:marBottom w:val="0"/>
          <w:divBdr>
            <w:top w:val="none" w:sz="0" w:space="0" w:color="auto"/>
            <w:left w:val="none" w:sz="0" w:space="0" w:color="auto"/>
            <w:bottom w:val="none" w:sz="0" w:space="0" w:color="auto"/>
            <w:right w:val="none" w:sz="0" w:space="0" w:color="auto"/>
          </w:divBdr>
        </w:div>
        <w:div w:id="494107849">
          <w:marLeft w:val="0"/>
          <w:marRight w:val="0"/>
          <w:marTop w:val="330"/>
          <w:marBottom w:val="0"/>
          <w:divBdr>
            <w:top w:val="none" w:sz="0" w:space="0" w:color="auto"/>
            <w:left w:val="none" w:sz="0" w:space="0" w:color="auto"/>
            <w:bottom w:val="none" w:sz="0" w:space="0" w:color="auto"/>
            <w:right w:val="none" w:sz="0" w:space="0" w:color="auto"/>
          </w:divBdr>
        </w:div>
        <w:div w:id="1517498334">
          <w:marLeft w:val="0"/>
          <w:marRight w:val="0"/>
          <w:marTop w:val="330"/>
          <w:marBottom w:val="0"/>
          <w:divBdr>
            <w:top w:val="none" w:sz="0" w:space="0" w:color="auto"/>
            <w:left w:val="none" w:sz="0" w:space="0" w:color="auto"/>
            <w:bottom w:val="none" w:sz="0" w:space="0" w:color="auto"/>
            <w:right w:val="none" w:sz="0" w:space="0" w:color="auto"/>
          </w:divBdr>
        </w:div>
        <w:div w:id="1659921615">
          <w:marLeft w:val="0"/>
          <w:marRight w:val="0"/>
          <w:marTop w:val="330"/>
          <w:marBottom w:val="0"/>
          <w:divBdr>
            <w:top w:val="none" w:sz="0" w:space="0" w:color="auto"/>
            <w:left w:val="none" w:sz="0" w:space="0" w:color="auto"/>
            <w:bottom w:val="none" w:sz="0" w:space="0" w:color="auto"/>
            <w:right w:val="none" w:sz="0" w:space="0" w:color="auto"/>
          </w:divBdr>
        </w:div>
        <w:div w:id="1843354103">
          <w:marLeft w:val="0"/>
          <w:marRight w:val="0"/>
          <w:marTop w:val="330"/>
          <w:marBottom w:val="0"/>
          <w:divBdr>
            <w:top w:val="none" w:sz="0" w:space="0" w:color="auto"/>
            <w:left w:val="none" w:sz="0" w:space="0" w:color="auto"/>
            <w:bottom w:val="none" w:sz="0" w:space="0" w:color="auto"/>
            <w:right w:val="none" w:sz="0" w:space="0" w:color="auto"/>
          </w:divBdr>
        </w:div>
        <w:div w:id="205679970">
          <w:marLeft w:val="0"/>
          <w:marRight w:val="0"/>
          <w:marTop w:val="330"/>
          <w:marBottom w:val="0"/>
          <w:divBdr>
            <w:top w:val="none" w:sz="0" w:space="0" w:color="auto"/>
            <w:left w:val="none" w:sz="0" w:space="0" w:color="auto"/>
            <w:bottom w:val="none" w:sz="0" w:space="0" w:color="auto"/>
            <w:right w:val="none" w:sz="0" w:space="0" w:color="auto"/>
          </w:divBdr>
        </w:div>
        <w:div w:id="1961648192">
          <w:marLeft w:val="0"/>
          <w:marRight w:val="0"/>
          <w:marTop w:val="330"/>
          <w:marBottom w:val="0"/>
          <w:divBdr>
            <w:top w:val="none" w:sz="0" w:space="0" w:color="auto"/>
            <w:left w:val="none" w:sz="0" w:space="0" w:color="auto"/>
            <w:bottom w:val="none" w:sz="0" w:space="0" w:color="auto"/>
            <w:right w:val="none" w:sz="0" w:space="0" w:color="auto"/>
          </w:divBdr>
        </w:div>
        <w:div w:id="598223835">
          <w:marLeft w:val="0"/>
          <w:marRight w:val="0"/>
          <w:marTop w:val="330"/>
          <w:marBottom w:val="0"/>
          <w:divBdr>
            <w:top w:val="none" w:sz="0" w:space="0" w:color="auto"/>
            <w:left w:val="none" w:sz="0" w:space="0" w:color="auto"/>
            <w:bottom w:val="none" w:sz="0" w:space="0" w:color="auto"/>
            <w:right w:val="none" w:sz="0" w:space="0" w:color="auto"/>
          </w:divBdr>
        </w:div>
        <w:div w:id="2021272307">
          <w:marLeft w:val="0"/>
          <w:marRight w:val="0"/>
          <w:marTop w:val="330"/>
          <w:marBottom w:val="0"/>
          <w:divBdr>
            <w:top w:val="none" w:sz="0" w:space="0" w:color="auto"/>
            <w:left w:val="none" w:sz="0" w:space="0" w:color="auto"/>
            <w:bottom w:val="none" w:sz="0" w:space="0" w:color="auto"/>
            <w:right w:val="none" w:sz="0" w:space="0" w:color="auto"/>
          </w:divBdr>
        </w:div>
        <w:div w:id="969743024">
          <w:marLeft w:val="0"/>
          <w:marRight w:val="0"/>
          <w:marTop w:val="330"/>
          <w:marBottom w:val="0"/>
          <w:divBdr>
            <w:top w:val="none" w:sz="0" w:space="0" w:color="auto"/>
            <w:left w:val="none" w:sz="0" w:space="0" w:color="auto"/>
            <w:bottom w:val="none" w:sz="0" w:space="0" w:color="auto"/>
            <w:right w:val="none" w:sz="0" w:space="0" w:color="auto"/>
          </w:divBdr>
        </w:div>
        <w:div w:id="1775324058">
          <w:marLeft w:val="0"/>
          <w:marRight w:val="0"/>
          <w:marTop w:val="330"/>
          <w:marBottom w:val="0"/>
          <w:divBdr>
            <w:top w:val="none" w:sz="0" w:space="0" w:color="auto"/>
            <w:left w:val="none" w:sz="0" w:space="0" w:color="auto"/>
            <w:bottom w:val="none" w:sz="0" w:space="0" w:color="auto"/>
            <w:right w:val="none" w:sz="0" w:space="0" w:color="auto"/>
          </w:divBdr>
        </w:div>
        <w:div w:id="2024552410">
          <w:marLeft w:val="0"/>
          <w:marRight w:val="0"/>
          <w:marTop w:val="330"/>
          <w:marBottom w:val="0"/>
          <w:divBdr>
            <w:top w:val="none" w:sz="0" w:space="0" w:color="auto"/>
            <w:left w:val="none" w:sz="0" w:space="0" w:color="auto"/>
            <w:bottom w:val="none" w:sz="0" w:space="0" w:color="auto"/>
            <w:right w:val="none" w:sz="0" w:space="0" w:color="auto"/>
          </w:divBdr>
        </w:div>
        <w:div w:id="1200162519">
          <w:marLeft w:val="0"/>
          <w:marRight w:val="0"/>
          <w:marTop w:val="330"/>
          <w:marBottom w:val="0"/>
          <w:divBdr>
            <w:top w:val="none" w:sz="0" w:space="0" w:color="auto"/>
            <w:left w:val="none" w:sz="0" w:space="0" w:color="auto"/>
            <w:bottom w:val="none" w:sz="0" w:space="0" w:color="auto"/>
            <w:right w:val="none" w:sz="0" w:space="0" w:color="auto"/>
          </w:divBdr>
        </w:div>
        <w:div w:id="1931742924">
          <w:marLeft w:val="0"/>
          <w:marRight w:val="0"/>
          <w:marTop w:val="330"/>
          <w:marBottom w:val="0"/>
          <w:divBdr>
            <w:top w:val="none" w:sz="0" w:space="0" w:color="auto"/>
            <w:left w:val="none" w:sz="0" w:space="0" w:color="auto"/>
            <w:bottom w:val="none" w:sz="0" w:space="0" w:color="auto"/>
            <w:right w:val="none" w:sz="0" w:space="0" w:color="auto"/>
          </w:divBdr>
        </w:div>
        <w:div w:id="1132943524">
          <w:marLeft w:val="0"/>
          <w:marRight w:val="0"/>
          <w:marTop w:val="330"/>
          <w:marBottom w:val="0"/>
          <w:divBdr>
            <w:top w:val="none" w:sz="0" w:space="0" w:color="auto"/>
            <w:left w:val="none" w:sz="0" w:space="0" w:color="auto"/>
            <w:bottom w:val="none" w:sz="0" w:space="0" w:color="auto"/>
            <w:right w:val="none" w:sz="0" w:space="0" w:color="auto"/>
          </w:divBdr>
        </w:div>
        <w:div w:id="590236118">
          <w:marLeft w:val="0"/>
          <w:marRight w:val="0"/>
          <w:marTop w:val="330"/>
          <w:marBottom w:val="0"/>
          <w:divBdr>
            <w:top w:val="none" w:sz="0" w:space="0" w:color="auto"/>
            <w:left w:val="none" w:sz="0" w:space="0" w:color="auto"/>
            <w:bottom w:val="none" w:sz="0" w:space="0" w:color="auto"/>
            <w:right w:val="none" w:sz="0" w:space="0" w:color="auto"/>
          </w:divBdr>
        </w:div>
        <w:div w:id="873008173">
          <w:marLeft w:val="0"/>
          <w:marRight w:val="0"/>
          <w:marTop w:val="330"/>
          <w:marBottom w:val="0"/>
          <w:divBdr>
            <w:top w:val="none" w:sz="0" w:space="0" w:color="auto"/>
            <w:left w:val="none" w:sz="0" w:space="0" w:color="auto"/>
            <w:bottom w:val="none" w:sz="0" w:space="0" w:color="auto"/>
            <w:right w:val="none" w:sz="0" w:space="0" w:color="auto"/>
          </w:divBdr>
        </w:div>
        <w:div w:id="611783701">
          <w:marLeft w:val="0"/>
          <w:marRight w:val="0"/>
          <w:marTop w:val="330"/>
          <w:marBottom w:val="0"/>
          <w:divBdr>
            <w:top w:val="none" w:sz="0" w:space="0" w:color="auto"/>
            <w:left w:val="none" w:sz="0" w:space="0" w:color="auto"/>
            <w:bottom w:val="none" w:sz="0" w:space="0" w:color="auto"/>
            <w:right w:val="none" w:sz="0" w:space="0" w:color="auto"/>
          </w:divBdr>
        </w:div>
        <w:div w:id="2124034755">
          <w:marLeft w:val="0"/>
          <w:marRight w:val="0"/>
          <w:marTop w:val="330"/>
          <w:marBottom w:val="0"/>
          <w:divBdr>
            <w:top w:val="none" w:sz="0" w:space="0" w:color="auto"/>
            <w:left w:val="none" w:sz="0" w:space="0" w:color="auto"/>
            <w:bottom w:val="none" w:sz="0" w:space="0" w:color="auto"/>
            <w:right w:val="none" w:sz="0" w:space="0" w:color="auto"/>
          </w:divBdr>
        </w:div>
        <w:div w:id="2100904395">
          <w:marLeft w:val="0"/>
          <w:marRight w:val="0"/>
          <w:marTop w:val="330"/>
          <w:marBottom w:val="0"/>
          <w:divBdr>
            <w:top w:val="none" w:sz="0" w:space="0" w:color="auto"/>
            <w:left w:val="none" w:sz="0" w:space="0" w:color="auto"/>
            <w:bottom w:val="none" w:sz="0" w:space="0" w:color="auto"/>
            <w:right w:val="none" w:sz="0" w:space="0" w:color="auto"/>
          </w:divBdr>
        </w:div>
        <w:div w:id="897789950">
          <w:marLeft w:val="0"/>
          <w:marRight w:val="0"/>
          <w:marTop w:val="330"/>
          <w:marBottom w:val="0"/>
          <w:divBdr>
            <w:top w:val="none" w:sz="0" w:space="0" w:color="auto"/>
            <w:left w:val="none" w:sz="0" w:space="0" w:color="auto"/>
            <w:bottom w:val="none" w:sz="0" w:space="0" w:color="auto"/>
            <w:right w:val="none" w:sz="0" w:space="0" w:color="auto"/>
          </w:divBdr>
        </w:div>
        <w:div w:id="697314070">
          <w:marLeft w:val="0"/>
          <w:marRight w:val="0"/>
          <w:marTop w:val="330"/>
          <w:marBottom w:val="0"/>
          <w:divBdr>
            <w:top w:val="none" w:sz="0" w:space="0" w:color="auto"/>
            <w:left w:val="none" w:sz="0" w:space="0" w:color="auto"/>
            <w:bottom w:val="none" w:sz="0" w:space="0" w:color="auto"/>
            <w:right w:val="none" w:sz="0" w:space="0" w:color="auto"/>
          </w:divBdr>
        </w:div>
        <w:div w:id="1930694748">
          <w:marLeft w:val="0"/>
          <w:marRight w:val="0"/>
          <w:marTop w:val="330"/>
          <w:marBottom w:val="0"/>
          <w:divBdr>
            <w:top w:val="none" w:sz="0" w:space="0" w:color="auto"/>
            <w:left w:val="none" w:sz="0" w:space="0" w:color="auto"/>
            <w:bottom w:val="none" w:sz="0" w:space="0" w:color="auto"/>
            <w:right w:val="none" w:sz="0" w:space="0" w:color="auto"/>
          </w:divBdr>
        </w:div>
        <w:div w:id="367874420">
          <w:marLeft w:val="0"/>
          <w:marRight w:val="0"/>
          <w:marTop w:val="330"/>
          <w:marBottom w:val="0"/>
          <w:divBdr>
            <w:top w:val="none" w:sz="0" w:space="0" w:color="auto"/>
            <w:left w:val="none" w:sz="0" w:space="0" w:color="auto"/>
            <w:bottom w:val="none" w:sz="0" w:space="0" w:color="auto"/>
            <w:right w:val="none" w:sz="0" w:space="0" w:color="auto"/>
          </w:divBdr>
        </w:div>
        <w:div w:id="31615441">
          <w:marLeft w:val="0"/>
          <w:marRight w:val="0"/>
          <w:marTop w:val="330"/>
          <w:marBottom w:val="0"/>
          <w:divBdr>
            <w:top w:val="none" w:sz="0" w:space="0" w:color="auto"/>
            <w:left w:val="none" w:sz="0" w:space="0" w:color="auto"/>
            <w:bottom w:val="none" w:sz="0" w:space="0" w:color="auto"/>
            <w:right w:val="none" w:sz="0" w:space="0" w:color="auto"/>
          </w:divBdr>
        </w:div>
        <w:div w:id="827087797">
          <w:marLeft w:val="0"/>
          <w:marRight w:val="0"/>
          <w:marTop w:val="330"/>
          <w:marBottom w:val="0"/>
          <w:divBdr>
            <w:top w:val="none" w:sz="0" w:space="0" w:color="auto"/>
            <w:left w:val="none" w:sz="0" w:space="0" w:color="auto"/>
            <w:bottom w:val="none" w:sz="0" w:space="0" w:color="auto"/>
            <w:right w:val="none" w:sz="0" w:space="0" w:color="auto"/>
          </w:divBdr>
        </w:div>
        <w:div w:id="1206219540">
          <w:marLeft w:val="0"/>
          <w:marRight w:val="0"/>
          <w:marTop w:val="330"/>
          <w:marBottom w:val="0"/>
          <w:divBdr>
            <w:top w:val="none" w:sz="0" w:space="0" w:color="auto"/>
            <w:left w:val="none" w:sz="0" w:space="0" w:color="auto"/>
            <w:bottom w:val="none" w:sz="0" w:space="0" w:color="auto"/>
            <w:right w:val="none" w:sz="0" w:space="0" w:color="auto"/>
          </w:divBdr>
        </w:div>
        <w:div w:id="4866602">
          <w:marLeft w:val="0"/>
          <w:marRight w:val="0"/>
          <w:marTop w:val="330"/>
          <w:marBottom w:val="0"/>
          <w:divBdr>
            <w:top w:val="none" w:sz="0" w:space="0" w:color="auto"/>
            <w:left w:val="none" w:sz="0" w:space="0" w:color="auto"/>
            <w:bottom w:val="none" w:sz="0" w:space="0" w:color="auto"/>
            <w:right w:val="none" w:sz="0" w:space="0" w:color="auto"/>
          </w:divBdr>
        </w:div>
        <w:div w:id="1674530476">
          <w:marLeft w:val="0"/>
          <w:marRight w:val="0"/>
          <w:marTop w:val="330"/>
          <w:marBottom w:val="0"/>
          <w:divBdr>
            <w:top w:val="none" w:sz="0" w:space="0" w:color="auto"/>
            <w:left w:val="none" w:sz="0" w:space="0" w:color="auto"/>
            <w:bottom w:val="none" w:sz="0" w:space="0" w:color="auto"/>
            <w:right w:val="none" w:sz="0" w:space="0" w:color="auto"/>
          </w:divBdr>
        </w:div>
        <w:div w:id="808668458">
          <w:marLeft w:val="0"/>
          <w:marRight w:val="0"/>
          <w:marTop w:val="330"/>
          <w:marBottom w:val="0"/>
          <w:divBdr>
            <w:top w:val="none" w:sz="0" w:space="0" w:color="auto"/>
            <w:left w:val="none" w:sz="0" w:space="0" w:color="auto"/>
            <w:bottom w:val="none" w:sz="0" w:space="0" w:color="auto"/>
            <w:right w:val="none" w:sz="0" w:space="0" w:color="auto"/>
          </w:divBdr>
        </w:div>
        <w:div w:id="1969621197">
          <w:marLeft w:val="0"/>
          <w:marRight w:val="0"/>
          <w:marTop w:val="330"/>
          <w:marBottom w:val="0"/>
          <w:divBdr>
            <w:top w:val="none" w:sz="0" w:space="0" w:color="auto"/>
            <w:left w:val="none" w:sz="0" w:space="0" w:color="auto"/>
            <w:bottom w:val="none" w:sz="0" w:space="0" w:color="auto"/>
            <w:right w:val="none" w:sz="0" w:space="0" w:color="auto"/>
          </w:divBdr>
        </w:div>
        <w:div w:id="437721884">
          <w:marLeft w:val="0"/>
          <w:marRight w:val="0"/>
          <w:marTop w:val="330"/>
          <w:marBottom w:val="0"/>
          <w:divBdr>
            <w:top w:val="none" w:sz="0" w:space="0" w:color="auto"/>
            <w:left w:val="none" w:sz="0" w:space="0" w:color="auto"/>
            <w:bottom w:val="none" w:sz="0" w:space="0" w:color="auto"/>
            <w:right w:val="none" w:sz="0" w:space="0" w:color="auto"/>
          </w:divBdr>
        </w:div>
        <w:div w:id="94061312">
          <w:marLeft w:val="0"/>
          <w:marRight w:val="0"/>
          <w:marTop w:val="330"/>
          <w:marBottom w:val="0"/>
          <w:divBdr>
            <w:top w:val="none" w:sz="0" w:space="0" w:color="auto"/>
            <w:left w:val="none" w:sz="0" w:space="0" w:color="auto"/>
            <w:bottom w:val="none" w:sz="0" w:space="0" w:color="auto"/>
            <w:right w:val="none" w:sz="0" w:space="0" w:color="auto"/>
          </w:divBdr>
        </w:div>
        <w:div w:id="1808624865">
          <w:marLeft w:val="0"/>
          <w:marRight w:val="0"/>
          <w:marTop w:val="330"/>
          <w:marBottom w:val="0"/>
          <w:divBdr>
            <w:top w:val="none" w:sz="0" w:space="0" w:color="auto"/>
            <w:left w:val="none" w:sz="0" w:space="0" w:color="auto"/>
            <w:bottom w:val="none" w:sz="0" w:space="0" w:color="auto"/>
            <w:right w:val="none" w:sz="0" w:space="0" w:color="auto"/>
          </w:divBdr>
        </w:div>
        <w:div w:id="460420816">
          <w:marLeft w:val="0"/>
          <w:marRight w:val="0"/>
          <w:marTop w:val="330"/>
          <w:marBottom w:val="0"/>
          <w:divBdr>
            <w:top w:val="none" w:sz="0" w:space="0" w:color="auto"/>
            <w:left w:val="none" w:sz="0" w:space="0" w:color="auto"/>
            <w:bottom w:val="none" w:sz="0" w:space="0" w:color="auto"/>
            <w:right w:val="none" w:sz="0" w:space="0" w:color="auto"/>
          </w:divBdr>
        </w:div>
        <w:div w:id="792871060">
          <w:marLeft w:val="0"/>
          <w:marRight w:val="0"/>
          <w:marTop w:val="330"/>
          <w:marBottom w:val="0"/>
          <w:divBdr>
            <w:top w:val="none" w:sz="0" w:space="0" w:color="auto"/>
            <w:left w:val="none" w:sz="0" w:space="0" w:color="auto"/>
            <w:bottom w:val="none" w:sz="0" w:space="0" w:color="auto"/>
            <w:right w:val="none" w:sz="0" w:space="0" w:color="auto"/>
          </w:divBdr>
        </w:div>
        <w:div w:id="23603965">
          <w:marLeft w:val="0"/>
          <w:marRight w:val="0"/>
          <w:marTop w:val="330"/>
          <w:marBottom w:val="0"/>
          <w:divBdr>
            <w:top w:val="none" w:sz="0" w:space="0" w:color="auto"/>
            <w:left w:val="none" w:sz="0" w:space="0" w:color="auto"/>
            <w:bottom w:val="none" w:sz="0" w:space="0" w:color="auto"/>
            <w:right w:val="none" w:sz="0" w:space="0" w:color="auto"/>
          </w:divBdr>
        </w:div>
        <w:div w:id="958336639">
          <w:marLeft w:val="0"/>
          <w:marRight w:val="0"/>
          <w:marTop w:val="330"/>
          <w:marBottom w:val="0"/>
          <w:divBdr>
            <w:top w:val="none" w:sz="0" w:space="0" w:color="auto"/>
            <w:left w:val="none" w:sz="0" w:space="0" w:color="auto"/>
            <w:bottom w:val="none" w:sz="0" w:space="0" w:color="auto"/>
            <w:right w:val="none" w:sz="0" w:space="0" w:color="auto"/>
          </w:divBdr>
        </w:div>
        <w:div w:id="702754703">
          <w:marLeft w:val="0"/>
          <w:marRight w:val="0"/>
          <w:marTop w:val="330"/>
          <w:marBottom w:val="0"/>
          <w:divBdr>
            <w:top w:val="none" w:sz="0" w:space="0" w:color="auto"/>
            <w:left w:val="none" w:sz="0" w:space="0" w:color="auto"/>
            <w:bottom w:val="none" w:sz="0" w:space="0" w:color="auto"/>
            <w:right w:val="none" w:sz="0" w:space="0" w:color="auto"/>
          </w:divBdr>
        </w:div>
        <w:div w:id="164058729">
          <w:marLeft w:val="0"/>
          <w:marRight w:val="0"/>
          <w:marTop w:val="330"/>
          <w:marBottom w:val="0"/>
          <w:divBdr>
            <w:top w:val="none" w:sz="0" w:space="0" w:color="auto"/>
            <w:left w:val="none" w:sz="0" w:space="0" w:color="auto"/>
            <w:bottom w:val="none" w:sz="0" w:space="0" w:color="auto"/>
            <w:right w:val="none" w:sz="0" w:space="0" w:color="auto"/>
          </w:divBdr>
        </w:div>
        <w:div w:id="763182849">
          <w:marLeft w:val="0"/>
          <w:marRight w:val="0"/>
          <w:marTop w:val="330"/>
          <w:marBottom w:val="0"/>
          <w:divBdr>
            <w:top w:val="none" w:sz="0" w:space="0" w:color="auto"/>
            <w:left w:val="none" w:sz="0" w:space="0" w:color="auto"/>
            <w:bottom w:val="none" w:sz="0" w:space="0" w:color="auto"/>
            <w:right w:val="none" w:sz="0" w:space="0" w:color="auto"/>
          </w:divBdr>
        </w:div>
        <w:div w:id="336614091">
          <w:marLeft w:val="0"/>
          <w:marRight w:val="0"/>
          <w:marTop w:val="330"/>
          <w:marBottom w:val="0"/>
          <w:divBdr>
            <w:top w:val="none" w:sz="0" w:space="0" w:color="auto"/>
            <w:left w:val="none" w:sz="0" w:space="0" w:color="auto"/>
            <w:bottom w:val="none" w:sz="0" w:space="0" w:color="auto"/>
            <w:right w:val="none" w:sz="0" w:space="0" w:color="auto"/>
          </w:divBdr>
        </w:div>
        <w:div w:id="1598445415">
          <w:marLeft w:val="0"/>
          <w:marRight w:val="0"/>
          <w:marTop w:val="330"/>
          <w:marBottom w:val="0"/>
          <w:divBdr>
            <w:top w:val="none" w:sz="0" w:space="0" w:color="auto"/>
            <w:left w:val="none" w:sz="0" w:space="0" w:color="auto"/>
            <w:bottom w:val="none" w:sz="0" w:space="0" w:color="auto"/>
            <w:right w:val="none" w:sz="0" w:space="0" w:color="auto"/>
          </w:divBdr>
        </w:div>
        <w:div w:id="952444840">
          <w:marLeft w:val="0"/>
          <w:marRight w:val="0"/>
          <w:marTop w:val="330"/>
          <w:marBottom w:val="0"/>
          <w:divBdr>
            <w:top w:val="none" w:sz="0" w:space="0" w:color="auto"/>
            <w:left w:val="none" w:sz="0" w:space="0" w:color="auto"/>
            <w:bottom w:val="none" w:sz="0" w:space="0" w:color="auto"/>
            <w:right w:val="none" w:sz="0" w:space="0" w:color="auto"/>
          </w:divBdr>
        </w:div>
        <w:div w:id="2077823813">
          <w:marLeft w:val="0"/>
          <w:marRight w:val="0"/>
          <w:marTop w:val="330"/>
          <w:marBottom w:val="0"/>
          <w:divBdr>
            <w:top w:val="none" w:sz="0" w:space="0" w:color="auto"/>
            <w:left w:val="none" w:sz="0" w:space="0" w:color="auto"/>
            <w:bottom w:val="none" w:sz="0" w:space="0" w:color="auto"/>
            <w:right w:val="none" w:sz="0" w:space="0" w:color="auto"/>
          </w:divBdr>
        </w:div>
        <w:div w:id="1512839041">
          <w:marLeft w:val="0"/>
          <w:marRight w:val="0"/>
          <w:marTop w:val="330"/>
          <w:marBottom w:val="0"/>
          <w:divBdr>
            <w:top w:val="none" w:sz="0" w:space="0" w:color="auto"/>
            <w:left w:val="none" w:sz="0" w:space="0" w:color="auto"/>
            <w:bottom w:val="none" w:sz="0" w:space="0" w:color="auto"/>
            <w:right w:val="none" w:sz="0" w:space="0" w:color="auto"/>
          </w:divBdr>
        </w:div>
        <w:div w:id="982319774">
          <w:marLeft w:val="0"/>
          <w:marRight w:val="0"/>
          <w:marTop w:val="330"/>
          <w:marBottom w:val="0"/>
          <w:divBdr>
            <w:top w:val="none" w:sz="0" w:space="0" w:color="auto"/>
            <w:left w:val="none" w:sz="0" w:space="0" w:color="auto"/>
            <w:bottom w:val="none" w:sz="0" w:space="0" w:color="auto"/>
            <w:right w:val="none" w:sz="0" w:space="0" w:color="auto"/>
          </w:divBdr>
        </w:div>
        <w:div w:id="1835998512">
          <w:marLeft w:val="0"/>
          <w:marRight w:val="0"/>
          <w:marTop w:val="330"/>
          <w:marBottom w:val="0"/>
          <w:divBdr>
            <w:top w:val="none" w:sz="0" w:space="0" w:color="auto"/>
            <w:left w:val="none" w:sz="0" w:space="0" w:color="auto"/>
            <w:bottom w:val="none" w:sz="0" w:space="0" w:color="auto"/>
            <w:right w:val="none" w:sz="0" w:space="0" w:color="auto"/>
          </w:divBdr>
        </w:div>
        <w:div w:id="1454669750">
          <w:marLeft w:val="0"/>
          <w:marRight w:val="0"/>
          <w:marTop w:val="330"/>
          <w:marBottom w:val="0"/>
          <w:divBdr>
            <w:top w:val="none" w:sz="0" w:space="0" w:color="auto"/>
            <w:left w:val="none" w:sz="0" w:space="0" w:color="auto"/>
            <w:bottom w:val="none" w:sz="0" w:space="0" w:color="auto"/>
            <w:right w:val="none" w:sz="0" w:space="0" w:color="auto"/>
          </w:divBdr>
        </w:div>
        <w:div w:id="579363437">
          <w:marLeft w:val="0"/>
          <w:marRight w:val="0"/>
          <w:marTop w:val="330"/>
          <w:marBottom w:val="0"/>
          <w:divBdr>
            <w:top w:val="none" w:sz="0" w:space="0" w:color="auto"/>
            <w:left w:val="none" w:sz="0" w:space="0" w:color="auto"/>
            <w:bottom w:val="none" w:sz="0" w:space="0" w:color="auto"/>
            <w:right w:val="none" w:sz="0" w:space="0" w:color="auto"/>
          </w:divBdr>
        </w:div>
        <w:div w:id="605314815">
          <w:marLeft w:val="0"/>
          <w:marRight w:val="0"/>
          <w:marTop w:val="330"/>
          <w:marBottom w:val="0"/>
          <w:divBdr>
            <w:top w:val="none" w:sz="0" w:space="0" w:color="auto"/>
            <w:left w:val="none" w:sz="0" w:space="0" w:color="auto"/>
            <w:bottom w:val="none" w:sz="0" w:space="0" w:color="auto"/>
            <w:right w:val="none" w:sz="0" w:space="0" w:color="auto"/>
          </w:divBdr>
        </w:div>
        <w:div w:id="2051875537">
          <w:marLeft w:val="0"/>
          <w:marRight w:val="0"/>
          <w:marTop w:val="330"/>
          <w:marBottom w:val="0"/>
          <w:divBdr>
            <w:top w:val="none" w:sz="0" w:space="0" w:color="auto"/>
            <w:left w:val="none" w:sz="0" w:space="0" w:color="auto"/>
            <w:bottom w:val="none" w:sz="0" w:space="0" w:color="auto"/>
            <w:right w:val="none" w:sz="0" w:space="0" w:color="auto"/>
          </w:divBdr>
        </w:div>
        <w:div w:id="918368395">
          <w:marLeft w:val="0"/>
          <w:marRight w:val="0"/>
          <w:marTop w:val="330"/>
          <w:marBottom w:val="0"/>
          <w:divBdr>
            <w:top w:val="none" w:sz="0" w:space="0" w:color="auto"/>
            <w:left w:val="none" w:sz="0" w:space="0" w:color="auto"/>
            <w:bottom w:val="none" w:sz="0" w:space="0" w:color="auto"/>
            <w:right w:val="none" w:sz="0" w:space="0" w:color="auto"/>
          </w:divBdr>
        </w:div>
        <w:div w:id="1711228740">
          <w:marLeft w:val="0"/>
          <w:marRight w:val="0"/>
          <w:marTop w:val="330"/>
          <w:marBottom w:val="0"/>
          <w:divBdr>
            <w:top w:val="none" w:sz="0" w:space="0" w:color="auto"/>
            <w:left w:val="none" w:sz="0" w:space="0" w:color="auto"/>
            <w:bottom w:val="none" w:sz="0" w:space="0" w:color="auto"/>
            <w:right w:val="none" w:sz="0" w:space="0" w:color="auto"/>
          </w:divBdr>
        </w:div>
        <w:div w:id="323319962">
          <w:marLeft w:val="0"/>
          <w:marRight w:val="0"/>
          <w:marTop w:val="330"/>
          <w:marBottom w:val="0"/>
          <w:divBdr>
            <w:top w:val="none" w:sz="0" w:space="0" w:color="auto"/>
            <w:left w:val="none" w:sz="0" w:space="0" w:color="auto"/>
            <w:bottom w:val="none" w:sz="0" w:space="0" w:color="auto"/>
            <w:right w:val="none" w:sz="0" w:space="0" w:color="auto"/>
          </w:divBdr>
        </w:div>
        <w:div w:id="1534809077">
          <w:marLeft w:val="0"/>
          <w:marRight w:val="0"/>
          <w:marTop w:val="330"/>
          <w:marBottom w:val="0"/>
          <w:divBdr>
            <w:top w:val="none" w:sz="0" w:space="0" w:color="auto"/>
            <w:left w:val="none" w:sz="0" w:space="0" w:color="auto"/>
            <w:bottom w:val="none" w:sz="0" w:space="0" w:color="auto"/>
            <w:right w:val="none" w:sz="0" w:space="0" w:color="auto"/>
          </w:divBdr>
        </w:div>
        <w:div w:id="95366768">
          <w:marLeft w:val="0"/>
          <w:marRight w:val="0"/>
          <w:marTop w:val="330"/>
          <w:marBottom w:val="0"/>
          <w:divBdr>
            <w:top w:val="none" w:sz="0" w:space="0" w:color="auto"/>
            <w:left w:val="none" w:sz="0" w:space="0" w:color="auto"/>
            <w:bottom w:val="none" w:sz="0" w:space="0" w:color="auto"/>
            <w:right w:val="none" w:sz="0" w:space="0" w:color="auto"/>
          </w:divBdr>
        </w:div>
        <w:div w:id="237793495">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1942</Words>
  <Characters>11075</Characters>
  <Application>Microsoft Office Word</Application>
  <DocSecurity>0</DocSecurity>
  <Lines>92</Lines>
  <Paragraphs>25</Paragraphs>
  <ScaleCrop>false</ScaleCrop>
  <Company>Sky123.Org</Company>
  <LinksUpToDate>false</LinksUpToDate>
  <CharactersWithSpaces>12992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戴红霞</dc:creator>
  <cp:keywords/>
  <dc:description/>
  <cp:lastModifiedBy>张键</cp:lastModifiedBy>
  <cp:revision>13</cp:revision>
  <dcterms:created xsi:type="dcterms:W3CDTF">2021-04-21T07:14:00Z</dcterms:created>
  <dcterms:modified xsi:type="dcterms:W3CDTF">2021-04-22T10:07:00Z</dcterms:modified>
</cp:coreProperties>
</file>